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F00B4" w14:textId="07EB6C16" w:rsidR="00D807E7" w:rsidRPr="00B93258" w:rsidRDefault="00D807E7">
      <w:pPr>
        <w:rPr>
          <w:rFonts w:ascii="Times New Roman" w:hAnsi="Times New Roman" w:cs="Times New Roman"/>
          <w:sz w:val="24"/>
          <w:szCs w:val="24"/>
          <w:lang w:val="en-GB"/>
        </w:rPr>
      </w:pPr>
    </w:p>
    <w:p w14:paraId="58275D74" w14:textId="77777777" w:rsidR="00EF6A54" w:rsidRPr="00461464" w:rsidRDefault="00EF6A54">
      <w:pPr>
        <w:rPr>
          <w:lang w:val="en-GB"/>
        </w:rPr>
      </w:pPr>
    </w:p>
    <w:p w14:paraId="1B476572" w14:textId="77777777" w:rsidR="00EF6A54" w:rsidRPr="00461464" w:rsidRDefault="00EF6A54">
      <w:pPr>
        <w:rPr>
          <w:lang w:val="en-GB"/>
        </w:rPr>
      </w:pPr>
    </w:p>
    <w:p w14:paraId="5D1EE830" w14:textId="77777777" w:rsidR="00EF6A54" w:rsidRPr="00461464" w:rsidRDefault="00EF6A54">
      <w:pPr>
        <w:rPr>
          <w:lang w:val="en-GB"/>
        </w:rPr>
      </w:pPr>
    </w:p>
    <w:p w14:paraId="73034BA6" w14:textId="77777777" w:rsidR="00EF6A54" w:rsidRPr="00461464" w:rsidRDefault="00EF6A54">
      <w:pPr>
        <w:rPr>
          <w:lang w:val="en-GB"/>
        </w:rPr>
      </w:pPr>
    </w:p>
    <w:p w14:paraId="483A0E6C" w14:textId="77777777" w:rsidR="00EF6A54" w:rsidRPr="00461464" w:rsidRDefault="00EF6A54">
      <w:pPr>
        <w:rPr>
          <w:lang w:val="en-GB"/>
        </w:rPr>
      </w:pPr>
    </w:p>
    <w:p w14:paraId="472D9577" w14:textId="77777777" w:rsidR="00EF6A54" w:rsidRPr="00461464" w:rsidRDefault="00EF6A54">
      <w:pPr>
        <w:rPr>
          <w:lang w:val="en-GB"/>
        </w:rPr>
      </w:pPr>
    </w:p>
    <w:p w14:paraId="35597279" w14:textId="77777777" w:rsidR="00EF6A54" w:rsidRPr="00461464" w:rsidRDefault="00EF6A54">
      <w:pPr>
        <w:rPr>
          <w:lang w:val="en-GB"/>
        </w:rPr>
      </w:pPr>
    </w:p>
    <w:p w14:paraId="09CB0C82" w14:textId="77777777" w:rsidR="00EF6A54" w:rsidRPr="00461464" w:rsidRDefault="00EF6A54">
      <w:pPr>
        <w:rPr>
          <w:lang w:val="en-GB"/>
        </w:rPr>
      </w:pPr>
    </w:p>
    <w:p w14:paraId="4AC31DD3" w14:textId="3A77C0F6" w:rsidR="00EF6A54" w:rsidRDefault="00EF6A54">
      <w:pPr>
        <w:rPr>
          <w:rFonts w:ascii="Times New Roman" w:hAnsi="Times New Roman" w:cs="Times New Roman"/>
          <w:b/>
          <w:bCs/>
          <w:sz w:val="28"/>
          <w:szCs w:val="28"/>
          <w:lang w:val="en-GB"/>
        </w:rPr>
      </w:pPr>
      <w:r>
        <w:rPr>
          <w:rFonts w:ascii="Times New Roman" w:hAnsi="Times New Roman" w:cs="Times New Roman"/>
          <w:b/>
          <w:bCs/>
          <w:sz w:val="28"/>
          <w:szCs w:val="28"/>
          <w:lang w:val="en-GB"/>
        </w:rPr>
        <w:t>Pattern bargaining as a means to coordinate wage</w:t>
      </w:r>
      <w:r w:rsidR="00456EAC">
        <w:rPr>
          <w:rFonts w:ascii="Times New Roman" w:hAnsi="Times New Roman" w:cs="Times New Roman"/>
          <w:b/>
          <w:bCs/>
          <w:sz w:val="28"/>
          <w:szCs w:val="28"/>
          <w:lang w:val="en-GB"/>
        </w:rPr>
        <w:t>s</w:t>
      </w:r>
      <w:r>
        <w:rPr>
          <w:rFonts w:ascii="Times New Roman" w:hAnsi="Times New Roman" w:cs="Times New Roman"/>
          <w:b/>
          <w:bCs/>
          <w:sz w:val="28"/>
          <w:szCs w:val="28"/>
          <w:lang w:val="en-GB"/>
        </w:rPr>
        <w:t xml:space="preserve"> in the Nordic countries</w:t>
      </w:r>
    </w:p>
    <w:p w14:paraId="6BB9E2D1" w14:textId="323F1ACD" w:rsidR="00EF6A54" w:rsidRDefault="00EF6A54">
      <w:pPr>
        <w:rPr>
          <w:rFonts w:ascii="Times New Roman" w:hAnsi="Times New Roman" w:cs="Times New Roman"/>
          <w:sz w:val="28"/>
          <w:szCs w:val="28"/>
          <w:lang w:val="en-GB"/>
        </w:rPr>
      </w:pPr>
      <w:r>
        <w:rPr>
          <w:rFonts w:ascii="Times New Roman" w:hAnsi="Times New Roman" w:cs="Times New Roman"/>
          <w:b/>
          <w:bCs/>
          <w:sz w:val="28"/>
          <w:szCs w:val="28"/>
          <w:lang w:val="en-GB"/>
        </w:rPr>
        <w:tab/>
      </w:r>
      <w:r>
        <w:rPr>
          <w:rFonts w:ascii="Times New Roman" w:hAnsi="Times New Roman" w:cs="Times New Roman"/>
          <w:b/>
          <w:bCs/>
          <w:sz w:val="28"/>
          <w:szCs w:val="28"/>
          <w:lang w:val="en-GB"/>
        </w:rPr>
        <w:tab/>
      </w:r>
      <w:r>
        <w:rPr>
          <w:rFonts w:ascii="Times New Roman" w:hAnsi="Times New Roman" w:cs="Times New Roman"/>
          <w:sz w:val="28"/>
          <w:szCs w:val="28"/>
          <w:lang w:val="en-GB"/>
        </w:rPr>
        <w:t>Lars Calmfors</w:t>
      </w:r>
      <w:r w:rsidR="00456EAC">
        <w:rPr>
          <w:rStyle w:val="FootnoteReference"/>
          <w:rFonts w:ascii="Times New Roman" w:hAnsi="Times New Roman" w:cs="Times New Roman"/>
          <w:sz w:val="28"/>
          <w:szCs w:val="28"/>
          <w:lang w:val="en-GB"/>
        </w:rPr>
        <w:footnoteReference w:id="1"/>
      </w:r>
    </w:p>
    <w:p w14:paraId="7C7EFA3C" w14:textId="77777777" w:rsidR="00456EAC" w:rsidRDefault="00456EAC">
      <w:pPr>
        <w:rPr>
          <w:rFonts w:ascii="Times New Roman" w:hAnsi="Times New Roman" w:cs="Times New Roman"/>
          <w:sz w:val="28"/>
          <w:szCs w:val="28"/>
          <w:lang w:val="en-GB"/>
        </w:rPr>
      </w:pPr>
    </w:p>
    <w:p w14:paraId="36C686FE" w14:textId="77777777" w:rsidR="00456EAC" w:rsidRDefault="00456EAC">
      <w:pPr>
        <w:rPr>
          <w:rFonts w:ascii="Times New Roman" w:hAnsi="Times New Roman" w:cs="Times New Roman"/>
          <w:sz w:val="28"/>
          <w:szCs w:val="28"/>
          <w:lang w:val="en-GB"/>
        </w:rPr>
      </w:pPr>
    </w:p>
    <w:p w14:paraId="18B77B19" w14:textId="77777777" w:rsidR="00456EAC" w:rsidRDefault="00456EAC">
      <w:pPr>
        <w:rPr>
          <w:rFonts w:ascii="Times New Roman" w:hAnsi="Times New Roman" w:cs="Times New Roman"/>
          <w:sz w:val="28"/>
          <w:szCs w:val="28"/>
          <w:lang w:val="en-GB"/>
        </w:rPr>
      </w:pPr>
    </w:p>
    <w:p w14:paraId="045EF731" w14:textId="4D6342C8" w:rsidR="00456EAC" w:rsidRPr="00227F8A" w:rsidRDefault="005D672E">
      <w:pPr>
        <w:rPr>
          <w:rFonts w:ascii="Times New Roman" w:hAnsi="Times New Roman" w:cs="Times New Roman"/>
          <w:b/>
          <w:bCs/>
          <w:sz w:val="24"/>
          <w:szCs w:val="24"/>
          <w:lang w:val="en-GB"/>
        </w:rPr>
      </w:pPr>
      <w:r>
        <w:rPr>
          <w:rFonts w:ascii="Times New Roman" w:hAnsi="Times New Roman" w:cs="Times New Roman"/>
          <w:sz w:val="28"/>
          <w:szCs w:val="28"/>
          <w:lang w:val="en-GB"/>
        </w:rPr>
        <w:tab/>
      </w:r>
      <w:r>
        <w:rPr>
          <w:rFonts w:ascii="Times New Roman" w:hAnsi="Times New Roman" w:cs="Times New Roman"/>
          <w:sz w:val="28"/>
          <w:szCs w:val="28"/>
          <w:lang w:val="en-GB"/>
        </w:rPr>
        <w:tab/>
        <w:t xml:space="preserve">          </w:t>
      </w:r>
      <w:r w:rsidRPr="00227F8A">
        <w:rPr>
          <w:rFonts w:ascii="Times New Roman" w:hAnsi="Times New Roman" w:cs="Times New Roman"/>
          <w:b/>
          <w:bCs/>
          <w:sz w:val="24"/>
          <w:szCs w:val="24"/>
          <w:lang w:val="en-GB"/>
        </w:rPr>
        <w:t>Abstract</w:t>
      </w:r>
    </w:p>
    <w:p w14:paraId="1FA23D5E" w14:textId="4DA6A965" w:rsidR="005D672E" w:rsidRDefault="000F23A3" w:rsidP="000B51A7">
      <w:pPr>
        <w:jc w:val="both"/>
        <w:rPr>
          <w:rFonts w:ascii="Times New Roman" w:hAnsi="Times New Roman" w:cs="Times New Roman"/>
          <w:sz w:val="24"/>
          <w:szCs w:val="24"/>
          <w:lang w:val="en-GB"/>
        </w:rPr>
      </w:pPr>
      <w:r>
        <w:rPr>
          <w:rFonts w:ascii="Times New Roman" w:hAnsi="Times New Roman" w:cs="Times New Roman"/>
          <w:sz w:val="24"/>
          <w:szCs w:val="24"/>
          <w:lang w:val="en-GB"/>
        </w:rPr>
        <w:t>The</w:t>
      </w:r>
      <w:r w:rsidR="00FD01E3">
        <w:rPr>
          <w:rFonts w:ascii="Times New Roman" w:hAnsi="Times New Roman" w:cs="Times New Roman"/>
          <w:sz w:val="24"/>
          <w:szCs w:val="24"/>
          <w:lang w:val="en-GB"/>
        </w:rPr>
        <w:t xml:space="preserve"> </w:t>
      </w:r>
      <w:r w:rsidR="00FC0489">
        <w:rPr>
          <w:rFonts w:ascii="Times New Roman" w:hAnsi="Times New Roman" w:cs="Times New Roman"/>
          <w:sz w:val="24"/>
          <w:szCs w:val="24"/>
          <w:lang w:val="en-GB"/>
        </w:rPr>
        <w:t>various form of p</w:t>
      </w:r>
      <w:r w:rsidR="007D6817">
        <w:rPr>
          <w:rFonts w:ascii="Times New Roman" w:hAnsi="Times New Roman" w:cs="Times New Roman"/>
          <w:sz w:val="24"/>
          <w:szCs w:val="24"/>
          <w:lang w:val="en-GB"/>
        </w:rPr>
        <w:t>attern bargaining with manufacturing, as repre</w:t>
      </w:r>
      <w:r w:rsidR="005266CA">
        <w:rPr>
          <w:rFonts w:ascii="Times New Roman" w:hAnsi="Times New Roman" w:cs="Times New Roman"/>
          <w:sz w:val="24"/>
          <w:szCs w:val="24"/>
          <w:lang w:val="en-GB"/>
        </w:rPr>
        <w:t xml:space="preserve">sentative of the tradables sector, deciding the norm for wage increases </w:t>
      </w:r>
      <w:r w:rsidR="00FC0489">
        <w:rPr>
          <w:rFonts w:ascii="Times New Roman" w:hAnsi="Times New Roman" w:cs="Times New Roman"/>
          <w:sz w:val="24"/>
          <w:szCs w:val="24"/>
          <w:lang w:val="en-GB"/>
        </w:rPr>
        <w:t>in the Nordic countries</w:t>
      </w:r>
      <w:r>
        <w:rPr>
          <w:rFonts w:ascii="Times New Roman" w:hAnsi="Times New Roman" w:cs="Times New Roman"/>
          <w:sz w:val="24"/>
          <w:szCs w:val="24"/>
          <w:lang w:val="en-GB"/>
        </w:rPr>
        <w:t xml:space="preserve"> are reviewed</w:t>
      </w:r>
      <w:r w:rsidR="00B30E95">
        <w:rPr>
          <w:rFonts w:ascii="Times New Roman" w:hAnsi="Times New Roman" w:cs="Times New Roman"/>
          <w:sz w:val="24"/>
          <w:szCs w:val="24"/>
          <w:lang w:val="en-GB"/>
        </w:rPr>
        <w:t xml:space="preserve">. </w:t>
      </w:r>
      <w:r w:rsidR="00BA3601">
        <w:rPr>
          <w:rFonts w:ascii="Times New Roman" w:hAnsi="Times New Roman" w:cs="Times New Roman"/>
          <w:sz w:val="24"/>
          <w:szCs w:val="24"/>
          <w:lang w:val="en-GB"/>
        </w:rPr>
        <w:t xml:space="preserve">This form of bargaining </w:t>
      </w:r>
      <w:r w:rsidR="00CF381A">
        <w:rPr>
          <w:rFonts w:ascii="Times New Roman" w:hAnsi="Times New Roman" w:cs="Times New Roman"/>
          <w:sz w:val="24"/>
          <w:szCs w:val="24"/>
          <w:lang w:val="en-GB"/>
        </w:rPr>
        <w:t>has been consistent wit</w:t>
      </w:r>
      <w:r w:rsidR="00A645C0">
        <w:rPr>
          <w:rFonts w:ascii="Times New Roman" w:hAnsi="Times New Roman" w:cs="Times New Roman"/>
          <w:sz w:val="24"/>
          <w:szCs w:val="24"/>
          <w:lang w:val="en-GB"/>
        </w:rPr>
        <w:t xml:space="preserve">h strong international competitiveness and </w:t>
      </w:r>
      <w:r w:rsidR="00916109">
        <w:rPr>
          <w:rFonts w:ascii="Times New Roman" w:hAnsi="Times New Roman" w:cs="Times New Roman"/>
          <w:sz w:val="24"/>
          <w:szCs w:val="24"/>
          <w:lang w:val="en-GB"/>
        </w:rPr>
        <w:t xml:space="preserve">has widespread support among </w:t>
      </w:r>
      <w:r w:rsidR="005827D6">
        <w:rPr>
          <w:rFonts w:ascii="Times New Roman" w:hAnsi="Times New Roman" w:cs="Times New Roman"/>
          <w:sz w:val="24"/>
          <w:szCs w:val="24"/>
          <w:lang w:val="en-GB"/>
        </w:rPr>
        <w:t>practioners</w:t>
      </w:r>
      <w:r w:rsidR="00C83F49">
        <w:rPr>
          <w:rFonts w:ascii="Times New Roman" w:hAnsi="Times New Roman" w:cs="Times New Roman"/>
          <w:sz w:val="24"/>
          <w:szCs w:val="24"/>
          <w:lang w:val="en-GB"/>
        </w:rPr>
        <w:t xml:space="preserve"> based on informal analysis. It </w:t>
      </w:r>
      <w:r w:rsidR="0040448B">
        <w:rPr>
          <w:rFonts w:ascii="Times New Roman" w:hAnsi="Times New Roman" w:cs="Times New Roman"/>
          <w:sz w:val="24"/>
          <w:szCs w:val="24"/>
          <w:lang w:val="en-GB"/>
        </w:rPr>
        <w:t>is</w:t>
      </w:r>
      <w:r w:rsidR="0048452D">
        <w:rPr>
          <w:rFonts w:ascii="Times New Roman" w:hAnsi="Times New Roman" w:cs="Times New Roman"/>
          <w:sz w:val="24"/>
          <w:szCs w:val="24"/>
          <w:lang w:val="en-GB"/>
        </w:rPr>
        <w:t xml:space="preserve">, however, hard to build a convincing </w:t>
      </w:r>
      <w:r w:rsidR="00B1118D">
        <w:rPr>
          <w:rFonts w:ascii="Times New Roman" w:hAnsi="Times New Roman" w:cs="Times New Roman"/>
          <w:sz w:val="24"/>
          <w:szCs w:val="24"/>
          <w:lang w:val="en-GB"/>
        </w:rPr>
        <w:t xml:space="preserve">case </w:t>
      </w:r>
      <w:r w:rsidR="0040448B">
        <w:rPr>
          <w:rFonts w:ascii="Times New Roman" w:hAnsi="Times New Roman" w:cs="Times New Roman"/>
          <w:sz w:val="24"/>
          <w:szCs w:val="24"/>
          <w:lang w:val="en-GB"/>
        </w:rPr>
        <w:t xml:space="preserve">in more formal modelling for the idea that wage leadership </w:t>
      </w:r>
      <w:r w:rsidR="006873A0">
        <w:rPr>
          <w:rFonts w:ascii="Times New Roman" w:hAnsi="Times New Roman" w:cs="Times New Roman"/>
          <w:sz w:val="24"/>
          <w:szCs w:val="24"/>
          <w:lang w:val="en-GB"/>
        </w:rPr>
        <w:t xml:space="preserve">for the tradables sector is particularly conducive to wage restraint. </w:t>
      </w:r>
      <w:r w:rsidR="00BE06A6">
        <w:rPr>
          <w:rFonts w:ascii="Times New Roman" w:hAnsi="Times New Roman" w:cs="Times New Roman"/>
          <w:sz w:val="24"/>
          <w:szCs w:val="24"/>
          <w:lang w:val="en-GB"/>
        </w:rPr>
        <w:t>The conclusion is rather that it is norm setting in itself</w:t>
      </w:r>
      <w:r w:rsidR="005B61A9">
        <w:rPr>
          <w:rFonts w:ascii="Times New Roman" w:hAnsi="Times New Roman" w:cs="Times New Roman"/>
          <w:sz w:val="24"/>
          <w:szCs w:val="24"/>
          <w:lang w:val="en-GB"/>
        </w:rPr>
        <w:t>, irrespective of by whom it is done, that promotes wage moderation.</w:t>
      </w:r>
      <w:r w:rsidR="004D145C">
        <w:rPr>
          <w:rFonts w:ascii="Times New Roman" w:hAnsi="Times New Roman" w:cs="Times New Roman"/>
          <w:sz w:val="24"/>
          <w:szCs w:val="24"/>
          <w:lang w:val="en-GB"/>
        </w:rPr>
        <w:t xml:space="preserve"> </w:t>
      </w:r>
      <w:r w:rsidR="000242CD">
        <w:rPr>
          <w:rFonts w:ascii="Times New Roman" w:hAnsi="Times New Roman" w:cs="Times New Roman"/>
          <w:sz w:val="24"/>
          <w:szCs w:val="24"/>
          <w:lang w:val="en-GB"/>
        </w:rPr>
        <w:t xml:space="preserve">In </w:t>
      </w:r>
      <w:r w:rsidR="00503E00">
        <w:rPr>
          <w:rFonts w:ascii="Times New Roman" w:hAnsi="Times New Roman" w:cs="Times New Roman"/>
          <w:sz w:val="24"/>
          <w:szCs w:val="24"/>
          <w:lang w:val="en-GB"/>
        </w:rPr>
        <w:t>the future</w:t>
      </w:r>
      <w:r w:rsidR="00776D68">
        <w:rPr>
          <w:rFonts w:ascii="Times New Roman" w:hAnsi="Times New Roman" w:cs="Times New Roman"/>
          <w:sz w:val="24"/>
          <w:szCs w:val="24"/>
          <w:lang w:val="en-GB"/>
        </w:rPr>
        <w:t>,</w:t>
      </w:r>
      <w:r w:rsidR="00503E00">
        <w:rPr>
          <w:rFonts w:ascii="Times New Roman" w:hAnsi="Times New Roman" w:cs="Times New Roman"/>
          <w:sz w:val="24"/>
          <w:szCs w:val="24"/>
          <w:lang w:val="en-GB"/>
        </w:rPr>
        <w:t xml:space="preserve"> when</w:t>
      </w:r>
      <w:r w:rsidR="000242CD">
        <w:rPr>
          <w:rFonts w:ascii="Times New Roman" w:hAnsi="Times New Roman" w:cs="Times New Roman"/>
          <w:sz w:val="24"/>
          <w:szCs w:val="24"/>
          <w:lang w:val="en-GB"/>
        </w:rPr>
        <w:t xml:space="preserve"> changing demograhics</w:t>
      </w:r>
      <w:r w:rsidR="001C5064">
        <w:rPr>
          <w:rFonts w:ascii="Times New Roman" w:hAnsi="Times New Roman" w:cs="Times New Roman"/>
          <w:sz w:val="24"/>
          <w:szCs w:val="24"/>
          <w:lang w:val="en-GB"/>
        </w:rPr>
        <w:t xml:space="preserve"> may make a reallocation of labour to the nontradables</w:t>
      </w:r>
      <w:r w:rsidR="006D5CB6">
        <w:rPr>
          <w:rFonts w:ascii="Times New Roman" w:hAnsi="Times New Roman" w:cs="Times New Roman"/>
          <w:sz w:val="24"/>
          <w:szCs w:val="24"/>
          <w:lang w:val="en-GB"/>
        </w:rPr>
        <w:t xml:space="preserve"> sec</w:t>
      </w:r>
      <w:r w:rsidR="00860BC4">
        <w:rPr>
          <w:rFonts w:ascii="Times New Roman" w:hAnsi="Times New Roman" w:cs="Times New Roman"/>
          <w:sz w:val="24"/>
          <w:szCs w:val="24"/>
          <w:lang w:val="en-GB"/>
        </w:rPr>
        <w:t>t</w:t>
      </w:r>
      <w:r w:rsidR="006D5CB6">
        <w:rPr>
          <w:rFonts w:ascii="Times New Roman" w:hAnsi="Times New Roman" w:cs="Times New Roman"/>
          <w:sz w:val="24"/>
          <w:szCs w:val="24"/>
          <w:lang w:val="en-GB"/>
        </w:rPr>
        <w:t>or</w:t>
      </w:r>
      <w:r w:rsidR="001C5064">
        <w:rPr>
          <w:rFonts w:ascii="Times New Roman" w:hAnsi="Times New Roman" w:cs="Times New Roman"/>
          <w:sz w:val="24"/>
          <w:szCs w:val="24"/>
          <w:lang w:val="en-GB"/>
        </w:rPr>
        <w:t xml:space="preserve"> and the public sector desirable, </w:t>
      </w:r>
      <w:r w:rsidR="006A201E">
        <w:rPr>
          <w:rFonts w:ascii="Times New Roman" w:hAnsi="Times New Roman" w:cs="Times New Roman"/>
          <w:sz w:val="24"/>
          <w:szCs w:val="24"/>
          <w:lang w:val="en-GB"/>
        </w:rPr>
        <w:t xml:space="preserve">a rigid application </w:t>
      </w:r>
      <w:r w:rsidR="006D5CB6">
        <w:rPr>
          <w:rFonts w:ascii="Times New Roman" w:hAnsi="Times New Roman" w:cs="Times New Roman"/>
          <w:sz w:val="24"/>
          <w:szCs w:val="24"/>
          <w:lang w:val="en-GB"/>
        </w:rPr>
        <w:t xml:space="preserve">of international </w:t>
      </w:r>
      <w:r w:rsidR="00915FE7">
        <w:rPr>
          <w:rFonts w:ascii="Times New Roman" w:hAnsi="Times New Roman" w:cs="Times New Roman"/>
          <w:sz w:val="24"/>
          <w:szCs w:val="24"/>
          <w:lang w:val="en-GB"/>
        </w:rPr>
        <w:t>competitiveness norm</w:t>
      </w:r>
      <w:r w:rsidR="00B82154">
        <w:rPr>
          <w:rFonts w:ascii="Times New Roman" w:hAnsi="Times New Roman" w:cs="Times New Roman"/>
          <w:sz w:val="24"/>
          <w:szCs w:val="24"/>
          <w:lang w:val="en-GB"/>
        </w:rPr>
        <w:t>s</w:t>
      </w:r>
      <w:r w:rsidR="00915FE7">
        <w:rPr>
          <w:rFonts w:ascii="Times New Roman" w:hAnsi="Times New Roman" w:cs="Times New Roman"/>
          <w:sz w:val="24"/>
          <w:szCs w:val="24"/>
          <w:lang w:val="en-GB"/>
        </w:rPr>
        <w:t xml:space="preserve"> may imply an undesirable status-quo bias</w:t>
      </w:r>
      <w:r w:rsidR="006C4D14">
        <w:rPr>
          <w:rFonts w:ascii="Times New Roman" w:hAnsi="Times New Roman" w:cs="Times New Roman"/>
          <w:sz w:val="24"/>
          <w:szCs w:val="24"/>
          <w:lang w:val="en-GB"/>
        </w:rPr>
        <w:t xml:space="preserve">. </w:t>
      </w:r>
      <w:r w:rsidR="00DD7CF5">
        <w:rPr>
          <w:rFonts w:ascii="Times New Roman" w:hAnsi="Times New Roman" w:cs="Times New Roman"/>
          <w:sz w:val="24"/>
          <w:szCs w:val="24"/>
          <w:lang w:val="en-GB"/>
        </w:rPr>
        <w:t xml:space="preserve">More weight should probably be given to </w:t>
      </w:r>
      <w:r w:rsidR="000035B9">
        <w:rPr>
          <w:rFonts w:ascii="Times New Roman" w:hAnsi="Times New Roman" w:cs="Times New Roman"/>
          <w:sz w:val="24"/>
          <w:szCs w:val="24"/>
          <w:lang w:val="en-GB"/>
        </w:rPr>
        <w:t xml:space="preserve">overall labour market conditions in the economy </w:t>
      </w:r>
      <w:r w:rsidR="00830739">
        <w:rPr>
          <w:rFonts w:ascii="Times New Roman" w:hAnsi="Times New Roman" w:cs="Times New Roman"/>
          <w:sz w:val="24"/>
          <w:szCs w:val="24"/>
          <w:lang w:val="en-GB"/>
        </w:rPr>
        <w:t>and more relative-wage flexibility allowed.</w:t>
      </w:r>
      <w:r w:rsidR="006C4D14">
        <w:rPr>
          <w:rFonts w:ascii="Times New Roman" w:hAnsi="Times New Roman" w:cs="Times New Roman"/>
          <w:sz w:val="24"/>
          <w:szCs w:val="24"/>
          <w:lang w:val="en-GB"/>
        </w:rPr>
        <w:t xml:space="preserve"> </w:t>
      </w:r>
    </w:p>
    <w:p w14:paraId="2F3D4379" w14:textId="16B6ECC3" w:rsidR="005478B6" w:rsidRPr="00227F8A" w:rsidRDefault="009A098B" w:rsidP="000B51A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Keywords: Pattern bargaining, </w:t>
      </w:r>
      <w:r w:rsidR="00A032B6">
        <w:rPr>
          <w:rFonts w:ascii="Times New Roman" w:hAnsi="Times New Roman" w:cs="Times New Roman"/>
          <w:sz w:val="24"/>
          <w:szCs w:val="24"/>
          <w:lang w:val="en-GB"/>
        </w:rPr>
        <w:t xml:space="preserve">coordination of wage setting, the Scandinavian model, </w:t>
      </w:r>
      <w:r w:rsidR="008802AA">
        <w:rPr>
          <w:rFonts w:ascii="Times New Roman" w:hAnsi="Times New Roman" w:cs="Times New Roman"/>
          <w:sz w:val="24"/>
          <w:szCs w:val="24"/>
          <w:lang w:val="en-GB"/>
        </w:rPr>
        <w:t xml:space="preserve">Stackelberg leadership, social norms, </w:t>
      </w:r>
      <w:r w:rsidR="00EC7F72">
        <w:rPr>
          <w:rFonts w:ascii="Times New Roman" w:hAnsi="Times New Roman" w:cs="Times New Roman"/>
          <w:sz w:val="24"/>
          <w:szCs w:val="24"/>
          <w:lang w:val="en-GB"/>
        </w:rPr>
        <w:t>labour reallocation.</w:t>
      </w:r>
    </w:p>
    <w:p w14:paraId="41A9C3E9" w14:textId="77777777" w:rsidR="00456EAC" w:rsidRDefault="00456EAC">
      <w:pPr>
        <w:rPr>
          <w:rFonts w:ascii="Times New Roman" w:hAnsi="Times New Roman" w:cs="Times New Roman"/>
          <w:sz w:val="28"/>
          <w:szCs w:val="28"/>
          <w:lang w:val="en-GB"/>
        </w:rPr>
      </w:pPr>
    </w:p>
    <w:p w14:paraId="718B0476" w14:textId="77777777" w:rsidR="00456EAC" w:rsidRDefault="00456EAC">
      <w:pPr>
        <w:rPr>
          <w:rFonts w:ascii="Times New Roman" w:hAnsi="Times New Roman" w:cs="Times New Roman"/>
          <w:sz w:val="28"/>
          <w:szCs w:val="28"/>
          <w:lang w:val="en-GB"/>
        </w:rPr>
      </w:pPr>
    </w:p>
    <w:p w14:paraId="42E26DFB" w14:textId="77777777" w:rsidR="00456EAC" w:rsidRDefault="00456EAC">
      <w:pPr>
        <w:rPr>
          <w:rFonts w:ascii="Times New Roman" w:hAnsi="Times New Roman" w:cs="Times New Roman"/>
          <w:sz w:val="28"/>
          <w:szCs w:val="28"/>
          <w:lang w:val="en-GB"/>
        </w:rPr>
      </w:pPr>
    </w:p>
    <w:p w14:paraId="0792F9AA" w14:textId="415AD139" w:rsidR="00456EAC" w:rsidRDefault="00054D8C" w:rsidP="009D0EB0">
      <w:pPr>
        <w:pStyle w:val="Heading1"/>
        <w:rPr>
          <w:lang w:val="en-GB"/>
        </w:rPr>
      </w:pPr>
      <w:r w:rsidRPr="00054D8C">
        <w:rPr>
          <w:lang w:val="en-GB"/>
        </w:rPr>
        <w:lastRenderedPageBreak/>
        <w:t>1</w:t>
      </w:r>
      <w:r>
        <w:rPr>
          <w:lang w:val="en-GB"/>
        </w:rPr>
        <w:t xml:space="preserve"> </w:t>
      </w:r>
      <w:r w:rsidRPr="00054D8C">
        <w:rPr>
          <w:lang w:val="en-GB"/>
        </w:rPr>
        <w:t>Introduction</w:t>
      </w:r>
    </w:p>
    <w:p w14:paraId="3902754C" w14:textId="2DD4EBE0" w:rsidR="00054D8C" w:rsidRDefault="00054D8C" w:rsidP="00054D8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Nordic countries are </w:t>
      </w:r>
      <w:r w:rsidR="001454E6">
        <w:rPr>
          <w:rFonts w:ascii="Times New Roman" w:hAnsi="Times New Roman" w:cs="Times New Roman"/>
          <w:sz w:val="24"/>
          <w:szCs w:val="24"/>
          <w:lang w:val="en-GB"/>
        </w:rPr>
        <w:t>heavily</w:t>
      </w:r>
      <w:r>
        <w:rPr>
          <w:rFonts w:ascii="Times New Roman" w:hAnsi="Times New Roman" w:cs="Times New Roman"/>
          <w:sz w:val="24"/>
          <w:szCs w:val="24"/>
          <w:lang w:val="en-GB"/>
        </w:rPr>
        <w:t xml:space="preserve"> dependent on trade. This explains why considerations of international competitiveness have always played an important role in wage setting. In the 1960s and early 1970s, this thinking was formalised in the </w:t>
      </w:r>
      <w:r>
        <w:rPr>
          <w:rFonts w:ascii="Times New Roman" w:hAnsi="Times New Roman" w:cs="Times New Roman"/>
          <w:i/>
          <w:iCs/>
          <w:sz w:val="24"/>
          <w:szCs w:val="24"/>
          <w:lang w:val="en-GB"/>
        </w:rPr>
        <w:t>Scandinavian model of wage formation</w:t>
      </w:r>
      <w:r w:rsidR="00BC1453">
        <w:rPr>
          <w:rFonts w:ascii="Times New Roman" w:hAnsi="Times New Roman" w:cs="Times New Roman"/>
          <w:sz w:val="24"/>
          <w:szCs w:val="24"/>
          <w:lang w:val="en-GB"/>
        </w:rPr>
        <w:t>. The basic idea was that price and productivity increases in the internationally competitive sector (</w:t>
      </w:r>
      <w:r w:rsidR="00246A51">
        <w:rPr>
          <w:rFonts w:ascii="Times New Roman" w:hAnsi="Times New Roman" w:cs="Times New Roman"/>
          <w:sz w:val="24"/>
          <w:szCs w:val="24"/>
          <w:lang w:val="en-GB"/>
        </w:rPr>
        <w:t xml:space="preserve">henceforth </w:t>
      </w:r>
      <w:r w:rsidR="00BC1453" w:rsidRPr="00246A51">
        <w:rPr>
          <w:rFonts w:ascii="Times New Roman" w:hAnsi="Times New Roman" w:cs="Times New Roman"/>
          <w:i/>
          <w:iCs/>
          <w:sz w:val="24"/>
          <w:szCs w:val="24"/>
          <w:lang w:val="en-GB"/>
        </w:rPr>
        <w:t>the tradables sector</w:t>
      </w:r>
      <w:r w:rsidR="00BC1453">
        <w:rPr>
          <w:rFonts w:ascii="Times New Roman" w:hAnsi="Times New Roman" w:cs="Times New Roman"/>
          <w:sz w:val="24"/>
          <w:szCs w:val="24"/>
          <w:lang w:val="en-GB"/>
        </w:rPr>
        <w:t>) determine</w:t>
      </w:r>
      <w:r w:rsidR="007E577A">
        <w:rPr>
          <w:rFonts w:ascii="Times New Roman" w:hAnsi="Times New Roman" w:cs="Times New Roman"/>
          <w:sz w:val="24"/>
          <w:szCs w:val="24"/>
          <w:lang w:val="en-GB"/>
        </w:rPr>
        <w:t>s</w:t>
      </w:r>
      <w:r w:rsidR="00BC1453">
        <w:rPr>
          <w:rFonts w:ascii="Times New Roman" w:hAnsi="Times New Roman" w:cs="Times New Roman"/>
          <w:sz w:val="24"/>
          <w:szCs w:val="24"/>
          <w:lang w:val="en-GB"/>
        </w:rPr>
        <w:t xml:space="preserve"> a room for wage increases to be followed</w:t>
      </w:r>
      <w:r w:rsidR="00CE406B">
        <w:rPr>
          <w:rFonts w:ascii="Times New Roman" w:hAnsi="Times New Roman" w:cs="Times New Roman"/>
          <w:sz w:val="24"/>
          <w:szCs w:val="24"/>
          <w:lang w:val="en-GB"/>
        </w:rPr>
        <w:t xml:space="preserve"> also</w:t>
      </w:r>
      <w:r w:rsidR="00BC1453">
        <w:rPr>
          <w:rFonts w:ascii="Times New Roman" w:hAnsi="Times New Roman" w:cs="Times New Roman"/>
          <w:sz w:val="24"/>
          <w:szCs w:val="24"/>
          <w:lang w:val="en-GB"/>
        </w:rPr>
        <w:t xml:space="preserve"> in the sector </w:t>
      </w:r>
      <w:r w:rsidR="00294BB8">
        <w:rPr>
          <w:rFonts w:ascii="Times New Roman" w:hAnsi="Times New Roman" w:cs="Times New Roman"/>
          <w:sz w:val="24"/>
          <w:szCs w:val="24"/>
          <w:lang w:val="en-GB"/>
        </w:rPr>
        <w:t>sheltered</w:t>
      </w:r>
      <w:r w:rsidR="00BC1453">
        <w:rPr>
          <w:rFonts w:ascii="Times New Roman" w:hAnsi="Times New Roman" w:cs="Times New Roman"/>
          <w:sz w:val="24"/>
          <w:szCs w:val="24"/>
          <w:lang w:val="en-GB"/>
        </w:rPr>
        <w:t xml:space="preserve"> from international competition (</w:t>
      </w:r>
      <w:r w:rsidR="00246A51">
        <w:rPr>
          <w:rFonts w:ascii="Times New Roman" w:hAnsi="Times New Roman" w:cs="Times New Roman"/>
          <w:sz w:val="24"/>
          <w:szCs w:val="24"/>
          <w:lang w:val="en-GB"/>
        </w:rPr>
        <w:t xml:space="preserve">henceforth </w:t>
      </w:r>
      <w:r w:rsidR="00BC1453">
        <w:rPr>
          <w:rFonts w:ascii="Times New Roman" w:hAnsi="Times New Roman" w:cs="Times New Roman"/>
          <w:sz w:val="24"/>
          <w:szCs w:val="24"/>
          <w:lang w:val="en-GB"/>
        </w:rPr>
        <w:t xml:space="preserve">the </w:t>
      </w:r>
      <w:r w:rsidR="008B3895">
        <w:rPr>
          <w:rFonts w:ascii="Times New Roman" w:hAnsi="Times New Roman" w:cs="Times New Roman"/>
          <w:i/>
          <w:iCs/>
          <w:sz w:val="24"/>
          <w:szCs w:val="24"/>
          <w:lang w:val="en-GB"/>
        </w:rPr>
        <w:t>nontradables</w:t>
      </w:r>
      <w:r w:rsidR="00BC1453" w:rsidRPr="00246A51">
        <w:rPr>
          <w:rFonts w:ascii="Times New Roman" w:hAnsi="Times New Roman" w:cs="Times New Roman"/>
          <w:i/>
          <w:iCs/>
          <w:sz w:val="24"/>
          <w:szCs w:val="24"/>
          <w:lang w:val="en-GB"/>
        </w:rPr>
        <w:t xml:space="preserve"> </w:t>
      </w:r>
      <w:r w:rsidR="0030051D" w:rsidRPr="00246A51">
        <w:rPr>
          <w:rFonts w:ascii="Times New Roman" w:hAnsi="Times New Roman" w:cs="Times New Roman"/>
          <w:i/>
          <w:iCs/>
          <w:sz w:val="24"/>
          <w:szCs w:val="24"/>
          <w:lang w:val="en-GB"/>
        </w:rPr>
        <w:t>sector</w:t>
      </w:r>
      <w:r w:rsidR="00CD2333">
        <w:rPr>
          <w:rFonts w:ascii="Times New Roman" w:hAnsi="Times New Roman" w:cs="Times New Roman"/>
          <w:sz w:val="24"/>
          <w:szCs w:val="24"/>
          <w:lang w:val="en-GB"/>
        </w:rPr>
        <w:t>).</w:t>
      </w:r>
    </w:p>
    <w:p w14:paraId="6A43C6FC" w14:textId="5D3842ED" w:rsidR="00054D8C" w:rsidRDefault="0044788E" w:rsidP="003971E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When the mode</w:t>
      </w:r>
      <w:r w:rsidR="005A4623">
        <w:rPr>
          <w:rFonts w:ascii="Times New Roman" w:hAnsi="Times New Roman" w:cs="Times New Roman"/>
          <w:sz w:val="24"/>
          <w:szCs w:val="24"/>
          <w:lang w:val="en-GB"/>
        </w:rPr>
        <w:t xml:space="preserve">l was formulated, wage bargaining in </w:t>
      </w:r>
      <w:r w:rsidR="006D7FC0">
        <w:rPr>
          <w:rFonts w:ascii="Times New Roman" w:hAnsi="Times New Roman" w:cs="Times New Roman"/>
          <w:sz w:val="24"/>
          <w:szCs w:val="24"/>
          <w:lang w:val="en-GB"/>
        </w:rPr>
        <w:t>the Nordics</w:t>
      </w:r>
      <w:r w:rsidR="00212FE4">
        <w:rPr>
          <w:rFonts w:ascii="Times New Roman" w:hAnsi="Times New Roman" w:cs="Times New Roman"/>
          <w:sz w:val="24"/>
          <w:szCs w:val="24"/>
          <w:lang w:val="en-GB"/>
        </w:rPr>
        <w:t xml:space="preserve"> involved the national peak</w:t>
      </w:r>
      <w:r w:rsidR="0001533F">
        <w:rPr>
          <w:rFonts w:ascii="Times New Roman" w:hAnsi="Times New Roman" w:cs="Times New Roman"/>
          <w:sz w:val="24"/>
          <w:szCs w:val="24"/>
          <w:lang w:val="en-GB"/>
        </w:rPr>
        <w:t xml:space="preserve"> organisations </w:t>
      </w:r>
      <w:r w:rsidR="000F02CE">
        <w:rPr>
          <w:rFonts w:ascii="Times New Roman" w:hAnsi="Times New Roman" w:cs="Times New Roman"/>
          <w:sz w:val="24"/>
          <w:szCs w:val="24"/>
          <w:lang w:val="en-GB"/>
        </w:rPr>
        <w:t xml:space="preserve">on both </w:t>
      </w:r>
      <w:r w:rsidR="00A20AC3">
        <w:rPr>
          <w:rFonts w:ascii="Times New Roman" w:hAnsi="Times New Roman" w:cs="Times New Roman"/>
          <w:sz w:val="24"/>
          <w:szCs w:val="24"/>
          <w:lang w:val="en-GB"/>
        </w:rPr>
        <w:t>the employer and the</w:t>
      </w:r>
      <w:r w:rsidR="00A2074D">
        <w:rPr>
          <w:rFonts w:ascii="Times New Roman" w:hAnsi="Times New Roman" w:cs="Times New Roman"/>
          <w:sz w:val="24"/>
          <w:szCs w:val="24"/>
          <w:lang w:val="en-GB"/>
        </w:rPr>
        <w:t xml:space="preserve"> trade</w:t>
      </w:r>
      <w:r w:rsidR="00A20AC3">
        <w:rPr>
          <w:rFonts w:ascii="Times New Roman" w:hAnsi="Times New Roman" w:cs="Times New Roman"/>
          <w:sz w:val="24"/>
          <w:szCs w:val="24"/>
          <w:lang w:val="en-GB"/>
        </w:rPr>
        <w:t xml:space="preserve"> union side. </w:t>
      </w:r>
      <w:r w:rsidR="00673373">
        <w:rPr>
          <w:rFonts w:ascii="Times New Roman" w:hAnsi="Times New Roman" w:cs="Times New Roman"/>
          <w:sz w:val="24"/>
          <w:szCs w:val="24"/>
          <w:lang w:val="en-GB"/>
        </w:rPr>
        <w:t>But over t</w:t>
      </w:r>
      <w:r w:rsidR="00B63ADD">
        <w:rPr>
          <w:rFonts w:ascii="Times New Roman" w:hAnsi="Times New Roman" w:cs="Times New Roman"/>
          <w:sz w:val="24"/>
          <w:szCs w:val="24"/>
          <w:lang w:val="en-GB"/>
        </w:rPr>
        <w:t>ime</w:t>
      </w:r>
      <w:r w:rsidR="00A71C1A">
        <w:rPr>
          <w:rFonts w:ascii="Times New Roman" w:hAnsi="Times New Roman" w:cs="Times New Roman"/>
          <w:sz w:val="24"/>
          <w:szCs w:val="24"/>
          <w:lang w:val="en-GB"/>
        </w:rPr>
        <w:t xml:space="preserve">, </w:t>
      </w:r>
      <w:r w:rsidR="000E54D3">
        <w:rPr>
          <w:rFonts w:ascii="Times New Roman" w:hAnsi="Times New Roman" w:cs="Times New Roman"/>
          <w:sz w:val="24"/>
          <w:szCs w:val="24"/>
          <w:lang w:val="en-GB"/>
        </w:rPr>
        <w:t xml:space="preserve">peak </w:t>
      </w:r>
      <w:r w:rsidR="00DF128D">
        <w:rPr>
          <w:rFonts w:ascii="Times New Roman" w:hAnsi="Times New Roman" w:cs="Times New Roman"/>
          <w:sz w:val="24"/>
          <w:szCs w:val="24"/>
          <w:lang w:val="en-GB"/>
        </w:rPr>
        <w:t xml:space="preserve">level bargaining has </w:t>
      </w:r>
      <w:r w:rsidR="002C4591">
        <w:rPr>
          <w:rFonts w:ascii="Times New Roman" w:hAnsi="Times New Roman" w:cs="Times New Roman"/>
          <w:sz w:val="24"/>
          <w:szCs w:val="24"/>
          <w:lang w:val="en-GB"/>
        </w:rPr>
        <w:t>faded</w:t>
      </w:r>
      <w:r w:rsidR="00DF128D">
        <w:rPr>
          <w:rFonts w:ascii="Times New Roman" w:hAnsi="Times New Roman" w:cs="Times New Roman"/>
          <w:sz w:val="24"/>
          <w:szCs w:val="24"/>
          <w:lang w:val="en-GB"/>
        </w:rPr>
        <w:t xml:space="preserve"> away </w:t>
      </w:r>
      <w:r w:rsidR="00962668">
        <w:rPr>
          <w:rFonts w:ascii="Times New Roman" w:hAnsi="Times New Roman" w:cs="Times New Roman"/>
          <w:sz w:val="24"/>
          <w:szCs w:val="24"/>
          <w:lang w:val="en-GB"/>
        </w:rPr>
        <w:t xml:space="preserve">and </w:t>
      </w:r>
      <w:r w:rsidR="00960142">
        <w:rPr>
          <w:rFonts w:ascii="Times New Roman" w:hAnsi="Times New Roman" w:cs="Times New Roman"/>
          <w:sz w:val="24"/>
          <w:szCs w:val="24"/>
          <w:lang w:val="en-GB"/>
        </w:rPr>
        <w:t xml:space="preserve">industry level bargaining </w:t>
      </w:r>
      <w:r w:rsidR="00CA4C95">
        <w:rPr>
          <w:rFonts w:ascii="Times New Roman" w:hAnsi="Times New Roman" w:cs="Times New Roman"/>
          <w:sz w:val="24"/>
          <w:szCs w:val="24"/>
          <w:lang w:val="en-GB"/>
        </w:rPr>
        <w:t>has become dominant</w:t>
      </w:r>
      <w:r w:rsidR="00962668">
        <w:rPr>
          <w:rFonts w:ascii="Times New Roman" w:hAnsi="Times New Roman" w:cs="Times New Roman"/>
          <w:sz w:val="24"/>
          <w:szCs w:val="24"/>
          <w:lang w:val="en-GB"/>
        </w:rPr>
        <w:t xml:space="preserve">. </w:t>
      </w:r>
      <w:r w:rsidR="00883E7B">
        <w:rPr>
          <w:rFonts w:ascii="Times New Roman" w:hAnsi="Times New Roman" w:cs="Times New Roman"/>
          <w:sz w:val="24"/>
          <w:szCs w:val="24"/>
          <w:lang w:val="en-GB"/>
        </w:rPr>
        <w:t xml:space="preserve">This has not, however, meant </w:t>
      </w:r>
      <w:r w:rsidR="00C85AF0">
        <w:rPr>
          <w:rFonts w:ascii="Times New Roman" w:hAnsi="Times New Roman" w:cs="Times New Roman"/>
          <w:sz w:val="24"/>
          <w:szCs w:val="24"/>
          <w:lang w:val="en-GB"/>
        </w:rPr>
        <w:t xml:space="preserve">the disappearance of </w:t>
      </w:r>
      <w:r w:rsidR="008009BD">
        <w:rPr>
          <w:rFonts w:ascii="Times New Roman" w:hAnsi="Times New Roman" w:cs="Times New Roman"/>
          <w:sz w:val="24"/>
          <w:szCs w:val="24"/>
          <w:lang w:val="en-GB"/>
        </w:rPr>
        <w:t xml:space="preserve">coordinated </w:t>
      </w:r>
      <w:r w:rsidR="00605921">
        <w:rPr>
          <w:rFonts w:ascii="Times New Roman" w:hAnsi="Times New Roman" w:cs="Times New Roman"/>
          <w:sz w:val="24"/>
          <w:szCs w:val="24"/>
          <w:lang w:val="en-GB"/>
        </w:rPr>
        <w:t>wage setting</w:t>
      </w:r>
      <w:r w:rsidR="00C85AF0">
        <w:rPr>
          <w:rFonts w:ascii="Times New Roman" w:hAnsi="Times New Roman" w:cs="Times New Roman"/>
          <w:sz w:val="24"/>
          <w:szCs w:val="24"/>
          <w:lang w:val="en-GB"/>
        </w:rPr>
        <w:t xml:space="preserve">. Instead, the coordination </w:t>
      </w:r>
      <w:r w:rsidR="0035097E">
        <w:rPr>
          <w:rFonts w:ascii="Times New Roman" w:hAnsi="Times New Roman" w:cs="Times New Roman"/>
          <w:sz w:val="24"/>
          <w:szCs w:val="24"/>
          <w:lang w:val="en-GB"/>
        </w:rPr>
        <w:t xml:space="preserve">earlier exercised through </w:t>
      </w:r>
      <w:r w:rsidR="007B2370">
        <w:rPr>
          <w:rFonts w:ascii="Times New Roman" w:hAnsi="Times New Roman" w:cs="Times New Roman"/>
          <w:sz w:val="24"/>
          <w:szCs w:val="24"/>
          <w:lang w:val="en-GB"/>
        </w:rPr>
        <w:t>centralised bargaining</w:t>
      </w:r>
      <w:r w:rsidR="0035097E">
        <w:rPr>
          <w:rFonts w:ascii="Times New Roman" w:hAnsi="Times New Roman" w:cs="Times New Roman"/>
          <w:sz w:val="24"/>
          <w:szCs w:val="24"/>
          <w:lang w:val="en-GB"/>
        </w:rPr>
        <w:t xml:space="preserve"> has been replaced b</w:t>
      </w:r>
      <w:r w:rsidR="00605921">
        <w:rPr>
          <w:rFonts w:ascii="Times New Roman" w:hAnsi="Times New Roman" w:cs="Times New Roman"/>
          <w:sz w:val="24"/>
          <w:szCs w:val="24"/>
          <w:lang w:val="en-GB"/>
        </w:rPr>
        <w:t xml:space="preserve">y </w:t>
      </w:r>
      <w:r w:rsidR="00C54CBF">
        <w:rPr>
          <w:rFonts w:ascii="Times New Roman" w:hAnsi="Times New Roman" w:cs="Times New Roman"/>
          <w:sz w:val="24"/>
          <w:szCs w:val="24"/>
          <w:lang w:val="en-GB"/>
        </w:rPr>
        <w:t xml:space="preserve">coordination through </w:t>
      </w:r>
      <w:r w:rsidR="00C54CBF" w:rsidRPr="0095489A">
        <w:rPr>
          <w:rFonts w:ascii="Times New Roman" w:hAnsi="Times New Roman" w:cs="Times New Roman"/>
          <w:i/>
          <w:iCs/>
          <w:sz w:val="24"/>
          <w:szCs w:val="24"/>
          <w:lang w:val="en-GB"/>
        </w:rPr>
        <w:t>pattern bargaining</w:t>
      </w:r>
      <w:r w:rsidR="00C54CBF">
        <w:rPr>
          <w:rFonts w:ascii="Times New Roman" w:hAnsi="Times New Roman" w:cs="Times New Roman"/>
          <w:sz w:val="24"/>
          <w:szCs w:val="24"/>
          <w:lang w:val="en-GB"/>
        </w:rPr>
        <w:t>, w</w:t>
      </w:r>
      <w:r w:rsidR="008D174A">
        <w:rPr>
          <w:rFonts w:ascii="Times New Roman" w:hAnsi="Times New Roman" w:cs="Times New Roman"/>
          <w:sz w:val="24"/>
          <w:szCs w:val="24"/>
          <w:lang w:val="en-GB"/>
        </w:rPr>
        <w:t>her</w:t>
      </w:r>
      <w:r w:rsidR="00C54CBF">
        <w:rPr>
          <w:rFonts w:ascii="Times New Roman" w:hAnsi="Times New Roman" w:cs="Times New Roman"/>
          <w:sz w:val="24"/>
          <w:szCs w:val="24"/>
          <w:lang w:val="en-GB"/>
        </w:rPr>
        <w:t>e manufacturing</w:t>
      </w:r>
      <w:r w:rsidR="001D71AC">
        <w:rPr>
          <w:rFonts w:ascii="Times New Roman" w:hAnsi="Times New Roman" w:cs="Times New Roman"/>
          <w:sz w:val="24"/>
          <w:szCs w:val="24"/>
          <w:lang w:val="en-GB"/>
        </w:rPr>
        <w:t xml:space="preserve">, as a representative of the tradables sector, </w:t>
      </w:r>
      <w:r w:rsidR="00AD0282">
        <w:rPr>
          <w:rFonts w:ascii="Times New Roman" w:hAnsi="Times New Roman" w:cs="Times New Roman"/>
          <w:sz w:val="24"/>
          <w:szCs w:val="24"/>
          <w:lang w:val="en-GB"/>
        </w:rPr>
        <w:t xml:space="preserve">concludes the first </w:t>
      </w:r>
      <w:r w:rsidR="00F76A80">
        <w:rPr>
          <w:rFonts w:ascii="Times New Roman" w:hAnsi="Times New Roman" w:cs="Times New Roman"/>
          <w:sz w:val="24"/>
          <w:szCs w:val="24"/>
          <w:lang w:val="en-GB"/>
        </w:rPr>
        <w:t>agreement</w:t>
      </w:r>
      <w:r w:rsidR="00E14E5F">
        <w:rPr>
          <w:rFonts w:ascii="Times New Roman" w:hAnsi="Times New Roman" w:cs="Times New Roman"/>
          <w:sz w:val="24"/>
          <w:szCs w:val="24"/>
          <w:lang w:val="en-GB"/>
        </w:rPr>
        <w:t>,</w:t>
      </w:r>
      <w:r w:rsidR="00F76A80">
        <w:rPr>
          <w:rFonts w:ascii="Times New Roman" w:hAnsi="Times New Roman" w:cs="Times New Roman"/>
          <w:sz w:val="24"/>
          <w:szCs w:val="24"/>
          <w:lang w:val="en-GB"/>
        </w:rPr>
        <w:t xml:space="preserve"> </w:t>
      </w:r>
      <w:r w:rsidR="00B87B0D">
        <w:rPr>
          <w:rFonts w:ascii="Times New Roman" w:hAnsi="Times New Roman" w:cs="Times New Roman"/>
          <w:sz w:val="24"/>
          <w:szCs w:val="24"/>
          <w:lang w:val="en-GB"/>
        </w:rPr>
        <w:t>which determines a norm</w:t>
      </w:r>
      <w:r w:rsidR="00B51936">
        <w:rPr>
          <w:rFonts w:ascii="Times New Roman" w:hAnsi="Times New Roman" w:cs="Times New Roman"/>
          <w:sz w:val="24"/>
          <w:szCs w:val="24"/>
          <w:lang w:val="en-GB"/>
        </w:rPr>
        <w:t xml:space="preserve"> for wage increases</w:t>
      </w:r>
      <w:r w:rsidR="00B87B0D">
        <w:rPr>
          <w:rFonts w:ascii="Times New Roman" w:hAnsi="Times New Roman" w:cs="Times New Roman"/>
          <w:sz w:val="24"/>
          <w:szCs w:val="24"/>
          <w:lang w:val="en-GB"/>
        </w:rPr>
        <w:t xml:space="preserve"> for ot</w:t>
      </w:r>
      <w:r w:rsidR="008D174A">
        <w:rPr>
          <w:rFonts w:ascii="Times New Roman" w:hAnsi="Times New Roman" w:cs="Times New Roman"/>
          <w:sz w:val="24"/>
          <w:szCs w:val="24"/>
          <w:lang w:val="en-GB"/>
        </w:rPr>
        <w:t>her</w:t>
      </w:r>
      <w:r w:rsidR="00B87B0D">
        <w:rPr>
          <w:rFonts w:ascii="Times New Roman" w:hAnsi="Times New Roman" w:cs="Times New Roman"/>
          <w:sz w:val="24"/>
          <w:szCs w:val="24"/>
          <w:lang w:val="en-GB"/>
        </w:rPr>
        <w:t xml:space="preserve"> </w:t>
      </w:r>
      <w:r w:rsidR="009F4890">
        <w:rPr>
          <w:rFonts w:ascii="Times New Roman" w:hAnsi="Times New Roman" w:cs="Times New Roman"/>
          <w:sz w:val="24"/>
          <w:szCs w:val="24"/>
          <w:lang w:val="en-GB"/>
        </w:rPr>
        <w:t>sectors</w:t>
      </w:r>
      <w:r w:rsidR="00B51936">
        <w:rPr>
          <w:rFonts w:ascii="Times New Roman" w:hAnsi="Times New Roman" w:cs="Times New Roman"/>
          <w:sz w:val="24"/>
          <w:szCs w:val="24"/>
          <w:lang w:val="en-GB"/>
        </w:rPr>
        <w:t xml:space="preserve"> to follow</w:t>
      </w:r>
      <w:r w:rsidR="00E14E5F">
        <w:rPr>
          <w:rFonts w:ascii="Times New Roman" w:hAnsi="Times New Roman" w:cs="Times New Roman"/>
          <w:sz w:val="24"/>
          <w:szCs w:val="24"/>
          <w:lang w:val="en-GB"/>
        </w:rPr>
        <w:t xml:space="preserve">. </w:t>
      </w:r>
      <w:r w:rsidR="003971EA">
        <w:rPr>
          <w:rFonts w:ascii="Times New Roman" w:hAnsi="Times New Roman" w:cs="Times New Roman"/>
          <w:sz w:val="24"/>
          <w:szCs w:val="24"/>
          <w:lang w:val="en-GB"/>
        </w:rPr>
        <w:t xml:space="preserve">At </w:t>
      </w:r>
      <w:r w:rsidR="007A757F">
        <w:rPr>
          <w:rFonts w:ascii="Times New Roman" w:hAnsi="Times New Roman" w:cs="Times New Roman"/>
          <w:sz w:val="24"/>
          <w:szCs w:val="24"/>
          <w:lang w:val="en-GB"/>
        </w:rPr>
        <w:t>the same time</w:t>
      </w:r>
      <w:r w:rsidR="006A12F0">
        <w:rPr>
          <w:rFonts w:ascii="Times New Roman" w:hAnsi="Times New Roman" w:cs="Times New Roman"/>
          <w:sz w:val="24"/>
          <w:szCs w:val="24"/>
          <w:lang w:val="en-GB"/>
        </w:rPr>
        <w:t xml:space="preserve">, the scope for local bargaining </w:t>
      </w:r>
      <w:r w:rsidR="005F2560">
        <w:rPr>
          <w:rFonts w:ascii="Times New Roman" w:hAnsi="Times New Roman" w:cs="Times New Roman"/>
          <w:sz w:val="24"/>
          <w:szCs w:val="24"/>
          <w:lang w:val="en-GB"/>
        </w:rPr>
        <w:t>has widened.</w:t>
      </w:r>
      <w:r w:rsidR="00570E70">
        <w:rPr>
          <w:rFonts w:ascii="Times New Roman" w:hAnsi="Times New Roman" w:cs="Times New Roman"/>
          <w:sz w:val="24"/>
          <w:szCs w:val="24"/>
          <w:lang w:val="en-GB"/>
        </w:rPr>
        <w:t xml:space="preserve"> </w:t>
      </w:r>
    </w:p>
    <w:p w14:paraId="616D1330" w14:textId="755E6495" w:rsidR="003B53B2" w:rsidRDefault="008A540C" w:rsidP="003971E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8D174A">
        <w:rPr>
          <w:rFonts w:ascii="Times New Roman" w:hAnsi="Times New Roman" w:cs="Times New Roman"/>
          <w:sz w:val="24"/>
          <w:szCs w:val="24"/>
          <w:lang w:val="en-GB"/>
        </w:rPr>
        <w:t>her</w:t>
      </w:r>
      <w:r>
        <w:rPr>
          <w:rFonts w:ascii="Times New Roman" w:hAnsi="Times New Roman" w:cs="Times New Roman"/>
          <w:sz w:val="24"/>
          <w:szCs w:val="24"/>
          <w:lang w:val="en-GB"/>
        </w:rPr>
        <w:t>e</w:t>
      </w:r>
      <w:r w:rsidR="00807CF9">
        <w:rPr>
          <w:rFonts w:ascii="Times New Roman" w:hAnsi="Times New Roman" w:cs="Times New Roman"/>
          <w:sz w:val="24"/>
          <w:szCs w:val="24"/>
          <w:lang w:val="en-GB"/>
        </w:rPr>
        <w:t xml:space="preserve"> is a</w:t>
      </w:r>
      <w:r>
        <w:rPr>
          <w:rFonts w:ascii="Times New Roman" w:hAnsi="Times New Roman" w:cs="Times New Roman"/>
          <w:sz w:val="24"/>
          <w:szCs w:val="24"/>
          <w:lang w:val="en-GB"/>
        </w:rPr>
        <w:t xml:space="preserve"> strong belief </w:t>
      </w:r>
      <w:r w:rsidR="00652D3C">
        <w:rPr>
          <w:rFonts w:ascii="Times New Roman" w:hAnsi="Times New Roman" w:cs="Times New Roman"/>
          <w:sz w:val="24"/>
          <w:szCs w:val="24"/>
          <w:lang w:val="en-GB"/>
        </w:rPr>
        <w:t xml:space="preserve">among </w:t>
      </w:r>
      <w:r w:rsidR="00247ADE">
        <w:rPr>
          <w:rFonts w:ascii="Times New Roman" w:hAnsi="Times New Roman" w:cs="Times New Roman"/>
          <w:sz w:val="24"/>
          <w:szCs w:val="24"/>
          <w:lang w:val="en-GB"/>
        </w:rPr>
        <w:t xml:space="preserve">most </w:t>
      </w:r>
      <w:r w:rsidR="00652D3C">
        <w:rPr>
          <w:rFonts w:ascii="Times New Roman" w:hAnsi="Times New Roman" w:cs="Times New Roman"/>
          <w:sz w:val="24"/>
          <w:szCs w:val="24"/>
          <w:lang w:val="en-GB"/>
        </w:rPr>
        <w:t xml:space="preserve">policy </w:t>
      </w:r>
      <w:r w:rsidR="006B328B">
        <w:rPr>
          <w:rFonts w:ascii="Times New Roman" w:hAnsi="Times New Roman" w:cs="Times New Roman"/>
          <w:sz w:val="24"/>
          <w:szCs w:val="24"/>
          <w:lang w:val="en-GB"/>
        </w:rPr>
        <w:t xml:space="preserve">makers </w:t>
      </w:r>
      <w:r w:rsidR="001A6379">
        <w:rPr>
          <w:rFonts w:ascii="Times New Roman" w:hAnsi="Times New Roman" w:cs="Times New Roman"/>
          <w:sz w:val="24"/>
          <w:szCs w:val="24"/>
          <w:lang w:val="en-GB"/>
        </w:rPr>
        <w:t>and</w:t>
      </w:r>
      <w:r w:rsidR="002170C5">
        <w:rPr>
          <w:rFonts w:ascii="Times New Roman" w:hAnsi="Times New Roman" w:cs="Times New Roman"/>
          <w:sz w:val="24"/>
          <w:szCs w:val="24"/>
          <w:lang w:val="en-GB"/>
        </w:rPr>
        <w:t xml:space="preserve"> </w:t>
      </w:r>
      <w:r w:rsidR="001C240C">
        <w:rPr>
          <w:rFonts w:ascii="Times New Roman" w:hAnsi="Times New Roman" w:cs="Times New Roman"/>
          <w:sz w:val="24"/>
          <w:szCs w:val="24"/>
          <w:lang w:val="en-GB"/>
        </w:rPr>
        <w:t xml:space="preserve">representatives </w:t>
      </w:r>
      <w:r w:rsidR="005D4911">
        <w:rPr>
          <w:rFonts w:ascii="Times New Roman" w:hAnsi="Times New Roman" w:cs="Times New Roman"/>
          <w:sz w:val="24"/>
          <w:szCs w:val="24"/>
          <w:lang w:val="en-GB"/>
        </w:rPr>
        <w:t>of labour market organisations that the pattern bargaining that has developed contributes t</w:t>
      </w:r>
      <w:r w:rsidR="00062855">
        <w:rPr>
          <w:rFonts w:ascii="Times New Roman" w:hAnsi="Times New Roman" w:cs="Times New Roman"/>
          <w:sz w:val="24"/>
          <w:szCs w:val="24"/>
          <w:lang w:val="en-GB"/>
        </w:rPr>
        <w:t xml:space="preserve">o </w:t>
      </w:r>
      <w:r w:rsidR="00C419ED">
        <w:rPr>
          <w:rFonts w:ascii="Times New Roman" w:hAnsi="Times New Roman" w:cs="Times New Roman"/>
          <w:sz w:val="24"/>
          <w:szCs w:val="24"/>
          <w:lang w:val="en-GB"/>
        </w:rPr>
        <w:t>good</w:t>
      </w:r>
      <w:r w:rsidR="00062855">
        <w:rPr>
          <w:rFonts w:ascii="Times New Roman" w:hAnsi="Times New Roman" w:cs="Times New Roman"/>
          <w:sz w:val="24"/>
          <w:szCs w:val="24"/>
          <w:lang w:val="en-GB"/>
        </w:rPr>
        <w:t xml:space="preserve"> macroeconomic performance</w:t>
      </w:r>
      <w:r w:rsidR="003B2D1D">
        <w:rPr>
          <w:rFonts w:ascii="Times New Roman" w:hAnsi="Times New Roman" w:cs="Times New Roman"/>
          <w:sz w:val="24"/>
          <w:szCs w:val="24"/>
          <w:lang w:val="en-GB"/>
        </w:rPr>
        <w:t xml:space="preserve">. But </w:t>
      </w:r>
      <w:r w:rsidR="0018582A">
        <w:rPr>
          <w:rFonts w:ascii="Times New Roman" w:hAnsi="Times New Roman" w:cs="Times New Roman"/>
          <w:sz w:val="24"/>
          <w:szCs w:val="24"/>
          <w:lang w:val="en-GB"/>
        </w:rPr>
        <w:t>t</w:t>
      </w:r>
      <w:r w:rsidR="008D174A">
        <w:rPr>
          <w:rFonts w:ascii="Times New Roman" w:hAnsi="Times New Roman" w:cs="Times New Roman"/>
          <w:sz w:val="24"/>
          <w:szCs w:val="24"/>
          <w:lang w:val="en-GB"/>
        </w:rPr>
        <w:t>her</w:t>
      </w:r>
      <w:r w:rsidR="0018582A">
        <w:rPr>
          <w:rFonts w:ascii="Times New Roman" w:hAnsi="Times New Roman" w:cs="Times New Roman"/>
          <w:sz w:val="24"/>
          <w:szCs w:val="24"/>
          <w:lang w:val="en-GB"/>
        </w:rPr>
        <w:t xml:space="preserve">e </w:t>
      </w:r>
      <w:r w:rsidR="00255342">
        <w:rPr>
          <w:rFonts w:ascii="Times New Roman" w:hAnsi="Times New Roman" w:cs="Times New Roman"/>
          <w:sz w:val="24"/>
          <w:szCs w:val="24"/>
          <w:lang w:val="en-GB"/>
        </w:rPr>
        <w:t>has also been critique</w:t>
      </w:r>
      <w:r w:rsidR="00DF3AFD">
        <w:rPr>
          <w:rFonts w:ascii="Times New Roman" w:hAnsi="Times New Roman" w:cs="Times New Roman"/>
          <w:sz w:val="24"/>
          <w:szCs w:val="24"/>
          <w:lang w:val="en-GB"/>
        </w:rPr>
        <w:t>,</w:t>
      </w:r>
      <w:r w:rsidR="00255342">
        <w:rPr>
          <w:rFonts w:ascii="Times New Roman" w:hAnsi="Times New Roman" w:cs="Times New Roman"/>
          <w:sz w:val="24"/>
          <w:szCs w:val="24"/>
          <w:lang w:val="en-GB"/>
        </w:rPr>
        <w:t xml:space="preserve"> focusing on </w:t>
      </w:r>
      <w:r w:rsidR="00C83FB1">
        <w:rPr>
          <w:rFonts w:ascii="Times New Roman" w:hAnsi="Times New Roman" w:cs="Times New Roman"/>
          <w:sz w:val="24"/>
          <w:szCs w:val="24"/>
          <w:lang w:val="en-GB"/>
        </w:rPr>
        <w:t xml:space="preserve">inflexible relative wages and that </w:t>
      </w:r>
      <w:r w:rsidR="006C661D">
        <w:rPr>
          <w:rFonts w:ascii="Times New Roman" w:hAnsi="Times New Roman" w:cs="Times New Roman"/>
          <w:sz w:val="24"/>
          <w:szCs w:val="24"/>
          <w:lang w:val="en-GB"/>
        </w:rPr>
        <w:t xml:space="preserve">desirable labour reallocation could be </w:t>
      </w:r>
      <w:r w:rsidR="004826F3">
        <w:rPr>
          <w:rFonts w:ascii="Times New Roman" w:hAnsi="Times New Roman" w:cs="Times New Roman"/>
          <w:sz w:val="24"/>
          <w:szCs w:val="24"/>
          <w:lang w:val="en-GB"/>
        </w:rPr>
        <w:t xml:space="preserve">impeded. </w:t>
      </w:r>
      <w:r w:rsidR="003B53B2">
        <w:rPr>
          <w:rFonts w:ascii="Times New Roman" w:hAnsi="Times New Roman" w:cs="Times New Roman"/>
          <w:sz w:val="24"/>
          <w:szCs w:val="24"/>
          <w:lang w:val="en-GB"/>
        </w:rPr>
        <w:t xml:space="preserve">This article </w:t>
      </w:r>
      <w:r w:rsidR="003C4B2B">
        <w:rPr>
          <w:rFonts w:ascii="Times New Roman" w:hAnsi="Times New Roman" w:cs="Times New Roman"/>
          <w:sz w:val="24"/>
          <w:szCs w:val="24"/>
          <w:lang w:val="en-GB"/>
        </w:rPr>
        <w:t>reviews the argument</w:t>
      </w:r>
      <w:r w:rsidR="008D4CF7">
        <w:rPr>
          <w:rFonts w:ascii="Times New Roman" w:hAnsi="Times New Roman" w:cs="Times New Roman"/>
          <w:sz w:val="24"/>
          <w:szCs w:val="24"/>
          <w:lang w:val="en-GB"/>
        </w:rPr>
        <w:t xml:space="preserve">s, </w:t>
      </w:r>
      <w:r w:rsidR="009A023D">
        <w:rPr>
          <w:rFonts w:ascii="Times New Roman" w:hAnsi="Times New Roman" w:cs="Times New Roman"/>
          <w:sz w:val="24"/>
          <w:szCs w:val="24"/>
          <w:lang w:val="en-GB"/>
        </w:rPr>
        <w:t>analyses</w:t>
      </w:r>
      <w:r w:rsidR="00675479">
        <w:rPr>
          <w:rFonts w:ascii="Times New Roman" w:hAnsi="Times New Roman" w:cs="Times New Roman"/>
          <w:sz w:val="24"/>
          <w:szCs w:val="24"/>
          <w:lang w:val="en-GB"/>
        </w:rPr>
        <w:t xml:space="preserve"> how well bargaining with </w:t>
      </w:r>
      <w:r w:rsidR="005C5BA3">
        <w:rPr>
          <w:rFonts w:ascii="Times New Roman" w:hAnsi="Times New Roman" w:cs="Times New Roman"/>
          <w:sz w:val="24"/>
          <w:szCs w:val="24"/>
          <w:lang w:val="en-GB"/>
        </w:rPr>
        <w:t>the tradables sector</w:t>
      </w:r>
      <w:r w:rsidR="00265D6F">
        <w:rPr>
          <w:rFonts w:ascii="Times New Roman" w:hAnsi="Times New Roman" w:cs="Times New Roman"/>
          <w:sz w:val="24"/>
          <w:szCs w:val="24"/>
          <w:lang w:val="en-GB"/>
        </w:rPr>
        <w:t xml:space="preserve"> as pattern setter</w:t>
      </w:r>
      <w:r w:rsidR="005C5BA3">
        <w:rPr>
          <w:rFonts w:ascii="Times New Roman" w:hAnsi="Times New Roman" w:cs="Times New Roman"/>
          <w:sz w:val="24"/>
          <w:szCs w:val="24"/>
          <w:lang w:val="en-GB"/>
        </w:rPr>
        <w:t xml:space="preserve"> functions</w:t>
      </w:r>
      <w:r w:rsidR="008D4CF7">
        <w:rPr>
          <w:rFonts w:ascii="Times New Roman" w:hAnsi="Times New Roman" w:cs="Times New Roman"/>
          <w:sz w:val="24"/>
          <w:szCs w:val="24"/>
          <w:lang w:val="en-GB"/>
        </w:rPr>
        <w:t xml:space="preserve"> and </w:t>
      </w:r>
      <w:r w:rsidR="00EF1A59">
        <w:rPr>
          <w:rFonts w:ascii="Times New Roman" w:hAnsi="Times New Roman" w:cs="Times New Roman"/>
          <w:sz w:val="24"/>
          <w:szCs w:val="24"/>
          <w:lang w:val="en-GB"/>
        </w:rPr>
        <w:t xml:space="preserve">discusses possible </w:t>
      </w:r>
      <w:r w:rsidR="008A467B">
        <w:rPr>
          <w:rFonts w:ascii="Times New Roman" w:hAnsi="Times New Roman" w:cs="Times New Roman"/>
          <w:sz w:val="24"/>
          <w:szCs w:val="24"/>
          <w:lang w:val="en-GB"/>
        </w:rPr>
        <w:t xml:space="preserve">modifications of </w:t>
      </w:r>
      <w:r w:rsidR="00421792">
        <w:rPr>
          <w:rFonts w:ascii="Times New Roman" w:hAnsi="Times New Roman" w:cs="Times New Roman"/>
          <w:sz w:val="24"/>
          <w:szCs w:val="24"/>
          <w:lang w:val="en-GB"/>
        </w:rPr>
        <w:t>these systems</w:t>
      </w:r>
      <w:r w:rsidR="005C5BA3">
        <w:rPr>
          <w:rFonts w:ascii="Times New Roman" w:hAnsi="Times New Roman" w:cs="Times New Roman"/>
          <w:sz w:val="24"/>
          <w:szCs w:val="24"/>
          <w:lang w:val="en-GB"/>
        </w:rPr>
        <w:t xml:space="preserve">. </w:t>
      </w:r>
    </w:p>
    <w:p w14:paraId="0976C53B" w14:textId="055BBCD9" w:rsidR="00EA6F97" w:rsidRDefault="00AE3C98" w:rsidP="008B71B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Section 2 describes </w:t>
      </w:r>
      <w:r w:rsidR="00A86593">
        <w:rPr>
          <w:rFonts w:ascii="Times New Roman" w:hAnsi="Times New Roman" w:cs="Times New Roman"/>
          <w:sz w:val="24"/>
          <w:szCs w:val="24"/>
          <w:lang w:val="en-GB"/>
        </w:rPr>
        <w:t>bargaining</w:t>
      </w:r>
      <w:r>
        <w:rPr>
          <w:rFonts w:ascii="Times New Roman" w:hAnsi="Times New Roman" w:cs="Times New Roman"/>
          <w:sz w:val="24"/>
          <w:szCs w:val="24"/>
          <w:lang w:val="en-GB"/>
        </w:rPr>
        <w:t xml:space="preserve"> </w:t>
      </w:r>
      <w:r w:rsidR="00BA76DE">
        <w:rPr>
          <w:rFonts w:ascii="Times New Roman" w:hAnsi="Times New Roman" w:cs="Times New Roman"/>
          <w:sz w:val="24"/>
          <w:szCs w:val="24"/>
          <w:lang w:val="en-GB"/>
        </w:rPr>
        <w:t>coordination</w:t>
      </w:r>
      <w:r w:rsidR="001330AC">
        <w:rPr>
          <w:rFonts w:ascii="Times New Roman" w:hAnsi="Times New Roman" w:cs="Times New Roman"/>
          <w:sz w:val="24"/>
          <w:szCs w:val="24"/>
          <w:lang w:val="en-GB"/>
        </w:rPr>
        <w:t xml:space="preserve"> </w:t>
      </w:r>
      <w:r>
        <w:rPr>
          <w:rFonts w:ascii="Times New Roman" w:hAnsi="Times New Roman" w:cs="Times New Roman"/>
          <w:sz w:val="24"/>
          <w:szCs w:val="24"/>
          <w:lang w:val="en-GB"/>
        </w:rPr>
        <w:t>in the</w:t>
      </w:r>
      <w:r w:rsidR="007E577A">
        <w:rPr>
          <w:rFonts w:ascii="Times New Roman" w:hAnsi="Times New Roman" w:cs="Times New Roman"/>
          <w:sz w:val="24"/>
          <w:szCs w:val="24"/>
          <w:lang w:val="en-GB"/>
        </w:rPr>
        <w:t xml:space="preserve"> </w:t>
      </w:r>
      <w:r w:rsidR="00560DB5">
        <w:rPr>
          <w:rFonts w:ascii="Times New Roman" w:hAnsi="Times New Roman" w:cs="Times New Roman"/>
          <w:sz w:val="24"/>
          <w:szCs w:val="24"/>
          <w:lang w:val="en-GB"/>
        </w:rPr>
        <w:t>Nordic countr</w:t>
      </w:r>
      <w:r w:rsidR="002D3CB6">
        <w:rPr>
          <w:rFonts w:ascii="Times New Roman" w:hAnsi="Times New Roman" w:cs="Times New Roman"/>
          <w:sz w:val="24"/>
          <w:szCs w:val="24"/>
          <w:lang w:val="en-GB"/>
        </w:rPr>
        <w:t xml:space="preserve">ies. </w:t>
      </w:r>
      <w:r w:rsidR="008B71B8">
        <w:rPr>
          <w:rFonts w:ascii="Times New Roman" w:hAnsi="Times New Roman" w:cs="Times New Roman"/>
          <w:sz w:val="24"/>
          <w:szCs w:val="24"/>
          <w:lang w:val="en-GB"/>
        </w:rPr>
        <w:t>The Scandinavian model of wage formation</w:t>
      </w:r>
      <w:r w:rsidR="00786B4E">
        <w:rPr>
          <w:rFonts w:ascii="Times New Roman" w:hAnsi="Times New Roman" w:cs="Times New Roman"/>
          <w:sz w:val="24"/>
          <w:szCs w:val="24"/>
          <w:lang w:val="en-GB"/>
        </w:rPr>
        <w:t xml:space="preserve"> is reviewed in Section </w:t>
      </w:r>
      <w:r w:rsidR="00AE7D30">
        <w:rPr>
          <w:rFonts w:ascii="Times New Roman" w:hAnsi="Times New Roman" w:cs="Times New Roman"/>
          <w:sz w:val="24"/>
          <w:szCs w:val="24"/>
          <w:lang w:val="en-GB"/>
        </w:rPr>
        <w:t>3</w:t>
      </w:r>
      <w:r w:rsidR="00D05AA7">
        <w:rPr>
          <w:rFonts w:ascii="Times New Roman" w:hAnsi="Times New Roman" w:cs="Times New Roman"/>
          <w:sz w:val="24"/>
          <w:szCs w:val="24"/>
          <w:lang w:val="en-GB"/>
        </w:rPr>
        <w:t>, whereas Section 4 surveys</w:t>
      </w:r>
      <w:r w:rsidR="00A16F7A">
        <w:rPr>
          <w:rFonts w:ascii="Times New Roman" w:hAnsi="Times New Roman" w:cs="Times New Roman"/>
          <w:sz w:val="24"/>
          <w:szCs w:val="24"/>
          <w:lang w:val="en-GB"/>
        </w:rPr>
        <w:t xml:space="preserve"> </w:t>
      </w:r>
      <w:r w:rsidR="0040392A">
        <w:rPr>
          <w:rFonts w:ascii="Times New Roman" w:hAnsi="Times New Roman" w:cs="Times New Roman"/>
          <w:sz w:val="24"/>
          <w:szCs w:val="24"/>
          <w:lang w:val="en-GB"/>
        </w:rPr>
        <w:t>recent wage developments</w:t>
      </w:r>
      <w:r w:rsidR="00D05AA7">
        <w:rPr>
          <w:rFonts w:ascii="Times New Roman" w:hAnsi="Times New Roman" w:cs="Times New Roman"/>
          <w:sz w:val="24"/>
          <w:szCs w:val="24"/>
          <w:lang w:val="en-GB"/>
        </w:rPr>
        <w:t>.</w:t>
      </w:r>
      <w:r w:rsidR="0040392A">
        <w:rPr>
          <w:rFonts w:ascii="Times New Roman" w:hAnsi="Times New Roman" w:cs="Times New Roman"/>
          <w:sz w:val="24"/>
          <w:szCs w:val="24"/>
          <w:lang w:val="en-GB"/>
        </w:rPr>
        <w:t xml:space="preserve"> </w:t>
      </w:r>
      <w:r w:rsidR="003F51B3">
        <w:rPr>
          <w:rFonts w:ascii="Times New Roman" w:hAnsi="Times New Roman" w:cs="Times New Roman"/>
          <w:sz w:val="24"/>
          <w:szCs w:val="24"/>
          <w:lang w:val="en-GB"/>
        </w:rPr>
        <w:t xml:space="preserve">Section </w:t>
      </w:r>
      <w:r w:rsidR="00EC4E80">
        <w:rPr>
          <w:rFonts w:ascii="Times New Roman" w:hAnsi="Times New Roman" w:cs="Times New Roman"/>
          <w:sz w:val="24"/>
          <w:szCs w:val="24"/>
          <w:lang w:val="en-GB"/>
        </w:rPr>
        <w:t>5</w:t>
      </w:r>
      <w:r w:rsidR="003F51B3">
        <w:rPr>
          <w:rFonts w:ascii="Times New Roman" w:hAnsi="Times New Roman" w:cs="Times New Roman"/>
          <w:sz w:val="24"/>
          <w:szCs w:val="24"/>
          <w:lang w:val="en-GB"/>
        </w:rPr>
        <w:t xml:space="preserve"> </w:t>
      </w:r>
      <w:r w:rsidR="004477CA">
        <w:rPr>
          <w:rFonts w:ascii="Times New Roman" w:hAnsi="Times New Roman" w:cs="Times New Roman"/>
          <w:sz w:val="24"/>
          <w:szCs w:val="24"/>
          <w:lang w:val="en-GB"/>
        </w:rPr>
        <w:t xml:space="preserve">evaluates </w:t>
      </w:r>
      <w:r w:rsidR="000717F2">
        <w:rPr>
          <w:rFonts w:ascii="Times New Roman" w:hAnsi="Times New Roman" w:cs="Times New Roman"/>
          <w:sz w:val="24"/>
          <w:szCs w:val="24"/>
          <w:lang w:val="en-GB"/>
        </w:rPr>
        <w:t>to what extent pattern setting by the tradables sector is likely to promote</w:t>
      </w:r>
      <w:r w:rsidR="00DE0C13">
        <w:rPr>
          <w:rFonts w:ascii="Times New Roman" w:hAnsi="Times New Roman" w:cs="Times New Roman"/>
          <w:sz w:val="24"/>
          <w:szCs w:val="24"/>
          <w:lang w:val="en-GB"/>
        </w:rPr>
        <w:t xml:space="preserve"> wage </w:t>
      </w:r>
      <w:r w:rsidR="00752704">
        <w:rPr>
          <w:rFonts w:ascii="Times New Roman" w:hAnsi="Times New Roman" w:cs="Times New Roman"/>
          <w:sz w:val="24"/>
          <w:szCs w:val="24"/>
          <w:lang w:val="en-GB"/>
        </w:rPr>
        <w:t>moderation</w:t>
      </w:r>
      <w:r w:rsidR="00A51CD6">
        <w:rPr>
          <w:rFonts w:ascii="Times New Roman" w:hAnsi="Times New Roman" w:cs="Times New Roman"/>
          <w:sz w:val="24"/>
          <w:szCs w:val="24"/>
          <w:lang w:val="en-GB"/>
        </w:rPr>
        <w:t xml:space="preserve">. </w:t>
      </w:r>
      <w:r w:rsidR="0009545F">
        <w:rPr>
          <w:rFonts w:ascii="Times New Roman" w:hAnsi="Times New Roman" w:cs="Times New Roman"/>
          <w:sz w:val="24"/>
          <w:szCs w:val="24"/>
          <w:lang w:val="en-GB"/>
        </w:rPr>
        <w:t xml:space="preserve">Risks that pattern setting </w:t>
      </w:r>
      <w:r w:rsidR="00007A5E">
        <w:rPr>
          <w:rFonts w:ascii="Times New Roman" w:hAnsi="Times New Roman" w:cs="Times New Roman"/>
          <w:sz w:val="24"/>
          <w:szCs w:val="24"/>
          <w:lang w:val="en-GB"/>
        </w:rPr>
        <w:t xml:space="preserve">could interfere with </w:t>
      </w:r>
      <w:r w:rsidR="00143716">
        <w:rPr>
          <w:rFonts w:ascii="Times New Roman" w:hAnsi="Times New Roman" w:cs="Times New Roman"/>
          <w:sz w:val="24"/>
          <w:szCs w:val="24"/>
          <w:lang w:val="en-GB"/>
        </w:rPr>
        <w:t>desirable reallocation of labour and relative w</w:t>
      </w:r>
      <w:r w:rsidR="00D30BB8">
        <w:rPr>
          <w:rFonts w:ascii="Times New Roman" w:hAnsi="Times New Roman" w:cs="Times New Roman"/>
          <w:sz w:val="24"/>
          <w:szCs w:val="24"/>
          <w:lang w:val="en-GB"/>
        </w:rPr>
        <w:t xml:space="preserve">age flexibility are highlighted in Section </w:t>
      </w:r>
      <w:r w:rsidR="00EC4E80">
        <w:rPr>
          <w:rFonts w:ascii="Times New Roman" w:hAnsi="Times New Roman" w:cs="Times New Roman"/>
          <w:sz w:val="24"/>
          <w:szCs w:val="24"/>
          <w:lang w:val="en-GB"/>
        </w:rPr>
        <w:t>6</w:t>
      </w:r>
      <w:r w:rsidR="00E84692">
        <w:rPr>
          <w:rFonts w:ascii="Times New Roman" w:hAnsi="Times New Roman" w:cs="Times New Roman"/>
          <w:sz w:val="24"/>
          <w:szCs w:val="24"/>
          <w:lang w:val="en-GB"/>
        </w:rPr>
        <w:t xml:space="preserve">. </w:t>
      </w:r>
      <w:r w:rsidR="00FA6094">
        <w:rPr>
          <w:rFonts w:ascii="Times New Roman" w:hAnsi="Times New Roman" w:cs="Times New Roman"/>
          <w:sz w:val="24"/>
          <w:szCs w:val="24"/>
          <w:lang w:val="en-GB"/>
        </w:rPr>
        <w:t>Finally, S</w:t>
      </w:r>
      <w:r w:rsidR="000929F6">
        <w:rPr>
          <w:rFonts w:ascii="Times New Roman" w:hAnsi="Times New Roman" w:cs="Times New Roman"/>
          <w:sz w:val="24"/>
          <w:szCs w:val="24"/>
          <w:lang w:val="en-GB"/>
        </w:rPr>
        <w:t xml:space="preserve">ection </w:t>
      </w:r>
      <w:r w:rsidR="000C7982">
        <w:rPr>
          <w:rFonts w:ascii="Times New Roman" w:hAnsi="Times New Roman" w:cs="Times New Roman"/>
          <w:sz w:val="24"/>
          <w:szCs w:val="24"/>
          <w:lang w:val="en-GB"/>
        </w:rPr>
        <w:t>7</w:t>
      </w:r>
      <w:r w:rsidR="000929F6">
        <w:rPr>
          <w:rFonts w:ascii="Times New Roman" w:hAnsi="Times New Roman" w:cs="Times New Roman"/>
          <w:sz w:val="24"/>
          <w:szCs w:val="24"/>
          <w:lang w:val="en-GB"/>
        </w:rPr>
        <w:t xml:space="preserve"> </w:t>
      </w:r>
      <w:r w:rsidR="000C7982">
        <w:rPr>
          <w:rFonts w:ascii="Times New Roman" w:hAnsi="Times New Roman" w:cs="Times New Roman"/>
          <w:sz w:val="24"/>
          <w:szCs w:val="24"/>
          <w:lang w:val="en-GB"/>
        </w:rPr>
        <w:t xml:space="preserve">summarises the analysis and draws conclusions regarding </w:t>
      </w:r>
      <w:r w:rsidR="0002270F">
        <w:rPr>
          <w:rFonts w:ascii="Times New Roman" w:hAnsi="Times New Roman" w:cs="Times New Roman"/>
          <w:sz w:val="24"/>
          <w:szCs w:val="24"/>
          <w:lang w:val="en-GB"/>
        </w:rPr>
        <w:t>the desirable wage formation process in the future.</w:t>
      </w:r>
    </w:p>
    <w:p w14:paraId="268293B6" w14:textId="01494302" w:rsidR="009D0EB0" w:rsidRDefault="009D0EB0" w:rsidP="009D0EB0">
      <w:pPr>
        <w:pStyle w:val="Heading1"/>
        <w:rPr>
          <w:lang w:val="en-GB"/>
        </w:rPr>
      </w:pPr>
      <w:r>
        <w:rPr>
          <w:lang w:val="en-GB"/>
        </w:rPr>
        <w:lastRenderedPageBreak/>
        <w:t>2</w:t>
      </w:r>
      <w:r w:rsidR="009F3508">
        <w:rPr>
          <w:lang w:val="en-GB"/>
        </w:rPr>
        <w:t xml:space="preserve"> </w:t>
      </w:r>
      <w:r w:rsidR="00A86593">
        <w:rPr>
          <w:lang w:val="en-GB"/>
        </w:rPr>
        <w:t xml:space="preserve">The </w:t>
      </w:r>
      <w:r w:rsidR="003D746A">
        <w:rPr>
          <w:lang w:val="en-GB"/>
        </w:rPr>
        <w:t xml:space="preserve">Nordic </w:t>
      </w:r>
      <w:r w:rsidR="00A86593">
        <w:rPr>
          <w:lang w:val="en-GB"/>
        </w:rPr>
        <w:t xml:space="preserve">systems for </w:t>
      </w:r>
      <w:r w:rsidR="00C46FBA">
        <w:rPr>
          <w:lang w:val="en-GB"/>
        </w:rPr>
        <w:t xml:space="preserve">coordinating wage bargaining </w:t>
      </w:r>
    </w:p>
    <w:p w14:paraId="01BC8325" w14:textId="7668B23C" w:rsidR="0077627E" w:rsidRDefault="009D76DD" w:rsidP="00441AD9">
      <w:pPr>
        <w:spacing w:line="360" w:lineRule="auto"/>
        <w:jc w:val="both"/>
        <w:rPr>
          <w:rFonts w:ascii="Times New Roman" w:hAnsi="Times New Roman" w:cs="Times New Roman"/>
          <w:sz w:val="24"/>
          <w:szCs w:val="24"/>
          <w:lang w:val="en-GB"/>
        </w:rPr>
      </w:pPr>
      <w:r w:rsidRPr="009D76DD">
        <w:rPr>
          <w:rFonts w:ascii="Times New Roman" w:hAnsi="Times New Roman" w:cs="Times New Roman"/>
          <w:sz w:val="24"/>
          <w:szCs w:val="24"/>
          <w:lang w:val="en-GB"/>
        </w:rPr>
        <w:t xml:space="preserve">Table </w:t>
      </w:r>
      <w:r>
        <w:rPr>
          <w:rFonts w:ascii="Times New Roman" w:hAnsi="Times New Roman" w:cs="Times New Roman"/>
          <w:sz w:val="24"/>
          <w:szCs w:val="24"/>
          <w:lang w:val="en-GB"/>
        </w:rPr>
        <w:t xml:space="preserve">1 </w:t>
      </w:r>
      <w:r w:rsidR="0019539D">
        <w:rPr>
          <w:rFonts w:ascii="Times New Roman" w:hAnsi="Times New Roman" w:cs="Times New Roman"/>
          <w:sz w:val="24"/>
          <w:szCs w:val="24"/>
          <w:lang w:val="en-GB"/>
        </w:rPr>
        <w:t xml:space="preserve">summarises the basic features of </w:t>
      </w:r>
      <w:r w:rsidR="008F6F76">
        <w:rPr>
          <w:rFonts w:ascii="Times New Roman" w:hAnsi="Times New Roman" w:cs="Times New Roman"/>
          <w:sz w:val="24"/>
          <w:szCs w:val="24"/>
          <w:lang w:val="en-GB"/>
        </w:rPr>
        <w:t>wage bargaining</w:t>
      </w:r>
      <w:r w:rsidR="000303A4">
        <w:rPr>
          <w:rFonts w:ascii="Times New Roman" w:hAnsi="Times New Roman" w:cs="Times New Roman"/>
          <w:sz w:val="24"/>
          <w:szCs w:val="24"/>
          <w:lang w:val="en-GB"/>
        </w:rPr>
        <w:t xml:space="preserve"> coordination</w:t>
      </w:r>
      <w:r w:rsidR="008F6F76">
        <w:rPr>
          <w:rFonts w:ascii="Times New Roman" w:hAnsi="Times New Roman" w:cs="Times New Roman"/>
          <w:sz w:val="24"/>
          <w:szCs w:val="24"/>
          <w:lang w:val="en-GB"/>
        </w:rPr>
        <w:t xml:space="preserve"> in the Nordic</w:t>
      </w:r>
      <w:r w:rsidR="000303A4">
        <w:rPr>
          <w:rFonts w:ascii="Times New Roman" w:hAnsi="Times New Roman" w:cs="Times New Roman"/>
          <w:sz w:val="24"/>
          <w:szCs w:val="24"/>
          <w:lang w:val="en-GB"/>
        </w:rPr>
        <w:t>s</w:t>
      </w:r>
      <w:r w:rsidR="00BE77A6">
        <w:rPr>
          <w:rFonts w:ascii="Times New Roman" w:hAnsi="Times New Roman" w:cs="Times New Roman"/>
          <w:sz w:val="24"/>
          <w:szCs w:val="24"/>
          <w:lang w:val="en-GB"/>
        </w:rPr>
        <w:t>. Although pattern setting by manufacturing</w:t>
      </w:r>
      <w:r w:rsidR="00E76379">
        <w:rPr>
          <w:rFonts w:ascii="Times New Roman" w:hAnsi="Times New Roman" w:cs="Times New Roman"/>
          <w:sz w:val="24"/>
          <w:szCs w:val="24"/>
          <w:lang w:val="en-GB"/>
        </w:rPr>
        <w:t xml:space="preserve"> takes place in all the countries</w:t>
      </w:r>
      <w:r w:rsidR="001D6326">
        <w:rPr>
          <w:rFonts w:ascii="Times New Roman" w:hAnsi="Times New Roman" w:cs="Times New Roman"/>
          <w:sz w:val="24"/>
          <w:szCs w:val="24"/>
          <w:lang w:val="en-GB"/>
        </w:rPr>
        <w:t>, t</w:t>
      </w:r>
      <w:r w:rsidR="008D174A">
        <w:rPr>
          <w:rFonts w:ascii="Times New Roman" w:hAnsi="Times New Roman" w:cs="Times New Roman"/>
          <w:sz w:val="24"/>
          <w:szCs w:val="24"/>
          <w:lang w:val="en-GB"/>
        </w:rPr>
        <w:t>her</w:t>
      </w:r>
      <w:r w:rsidR="001D6326">
        <w:rPr>
          <w:rFonts w:ascii="Times New Roman" w:hAnsi="Times New Roman" w:cs="Times New Roman"/>
          <w:sz w:val="24"/>
          <w:szCs w:val="24"/>
          <w:lang w:val="en-GB"/>
        </w:rPr>
        <w:t xml:space="preserve">e is considerable variation </w:t>
      </w:r>
      <w:r w:rsidR="006A44F5">
        <w:rPr>
          <w:rFonts w:ascii="Times New Roman" w:hAnsi="Times New Roman" w:cs="Times New Roman"/>
          <w:sz w:val="24"/>
          <w:szCs w:val="24"/>
          <w:lang w:val="en-GB"/>
        </w:rPr>
        <w:t xml:space="preserve">in </w:t>
      </w:r>
      <w:r w:rsidR="00431176">
        <w:rPr>
          <w:rFonts w:ascii="Times New Roman" w:hAnsi="Times New Roman" w:cs="Times New Roman"/>
          <w:sz w:val="24"/>
          <w:szCs w:val="24"/>
          <w:lang w:val="en-GB"/>
        </w:rPr>
        <w:t>how this is done, how the systems were established and</w:t>
      </w:r>
      <w:r w:rsidR="00EC30A7">
        <w:rPr>
          <w:rFonts w:ascii="Times New Roman" w:hAnsi="Times New Roman" w:cs="Times New Roman"/>
          <w:sz w:val="24"/>
          <w:szCs w:val="24"/>
          <w:lang w:val="en-GB"/>
        </w:rPr>
        <w:t xml:space="preserve"> </w:t>
      </w:r>
      <w:r w:rsidR="00505C0E">
        <w:rPr>
          <w:rFonts w:ascii="Times New Roman" w:hAnsi="Times New Roman" w:cs="Times New Roman"/>
          <w:sz w:val="24"/>
          <w:szCs w:val="24"/>
          <w:lang w:val="en-GB"/>
        </w:rPr>
        <w:t>the roles played by</w:t>
      </w:r>
      <w:r w:rsidR="00441AD9">
        <w:rPr>
          <w:rFonts w:ascii="Times New Roman" w:hAnsi="Times New Roman" w:cs="Times New Roman"/>
          <w:sz w:val="24"/>
          <w:szCs w:val="24"/>
          <w:lang w:val="en-GB"/>
        </w:rPr>
        <w:t xml:space="preserve"> peak organisations and government</w:t>
      </w:r>
      <w:r w:rsidR="00D63CD8">
        <w:rPr>
          <w:rFonts w:ascii="Times New Roman" w:hAnsi="Times New Roman" w:cs="Times New Roman"/>
          <w:sz w:val="24"/>
          <w:szCs w:val="24"/>
          <w:lang w:val="en-GB"/>
        </w:rPr>
        <w:t>. Also, medi</w:t>
      </w:r>
      <w:r w:rsidR="006C2A94">
        <w:rPr>
          <w:rFonts w:ascii="Times New Roman" w:hAnsi="Times New Roman" w:cs="Times New Roman"/>
          <w:sz w:val="24"/>
          <w:szCs w:val="24"/>
          <w:lang w:val="en-GB"/>
        </w:rPr>
        <w:t>ation arrangements differ</w:t>
      </w:r>
      <w:r w:rsidR="00234CD0">
        <w:rPr>
          <w:rFonts w:ascii="Times New Roman" w:hAnsi="Times New Roman" w:cs="Times New Roman"/>
          <w:sz w:val="24"/>
          <w:szCs w:val="24"/>
          <w:lang w:val="en-GB"/>
        </w:rPr>
        <w:t xml:space="preserve">. </w:t>
      </w:r>
      <w:r w:rsidR="00404771">
        <w:rPr>
          <w:rFonts w:ascii="Times New Roman" w:hAnsi="Times New Roman" w:cs="Times New Roman"/>
          <w:sz w:val="24"/>
          <w:szCs w:val="24"/>
          <w:lang w:val="en-GB"/>
        </w:rPr>
        <w:t>The</w:t>
      </w:r>
      <w:r w:rsidR="00234CD0">
        <w:rPr>
          <w:rFonts w:ascii="Times New Roman" w:hAnsi="Times New Roman" w:cs="Times New Roman"/>
          <w:sz w:val="24"/>
          <w:szCs w:val="24"/>
          <w:lang w:val="en-GB"/>
        </w:rPr>
        <w:t xml:space="preserve"> transition</w:t>
      </w:r>
      <w:r w:rsidR="008717EC">
        <w:rPr>
          <w:rFonts w:ascii="Times New Roman" w:hAnsi="Times New Roman" w:cs="Times New Roman"/>
          <w:sz w:val="24"/>
          <w:szCs w:val="24"/>
          <w:lang w:val="en-GB"/>
        </w:rPr>
        <w:t xml:space="preserve">s from the earlier </w:t>
      </w:r>
      <w:r w:rsidR="001E1C83">
        <w:rPr>
          <w:rFonts w:ascii="Times New Roman" w:hAnsi="Times New Roman" w:cs="Times New Roman"/>
          <w:sz w:val="24"/>
          <w:szCs w:val="24"/>
          <w:lang w:val="en-GB"/>
        </w:rPr>
        <w:t>more centralised systems were characterised by oscillations between t</w:t>
      </w:r>
      <w:r w:rsidR="0049189D">
        <w:rPr>
          <w:rFonts w:ascii="Times New Roman" w:hAnsi="Times New Roman" w:cs="Times New Roman"/>
          <w:sz w:val="24"/>
          <w:szCs w:val="24"/>
          <w:lang w:val="en-GB"/>
        </w:rPr>
        <w:t>hem and the new systems.</w:t>
      </w:r>
      <w:r w:rsidR="00B11C41">
        <w:rPr>
          <w:rFonts w:ascii="Times New Roman" w:hAnsi="Times New Roman" w:cs="Times New Roman"/>
          <w:sz w:val="24"/>
          <w:szCs w:val="24"/>
          <w:lang w:val="en-GB"/>
        </w:rPr>
        <w:t xml:space="preserve"> They </w:t>
      </w:r>
      <w:r w:rsidR="00DA4B2B">
        <w:rPr>
          <w:rFonts w:ascii="Times New Roman" w:hAnsi="Times New Roman" w:cs="Times New Roman"/>
          <w:sz w:val="24"/>
          <w:szCs w:val="24"/>
          <w:lang w:val="en-GB"/>
        </w:rPr>
        <w:t>are most firmly established in Denmark, Norway and Sweden, w</w:t>
      </w:r>
      <w:r w:rsidR="008D174A">
        <w:rPr>
          <w:rFonts w:ascii="Times New Roman" w:hAnsi="Times New Roman" w:cs="Times New Roman"/>
          <w:sz w:val="24"/>
          <w:szCs w:val="24"/>
          <w:lang w:val="en-GB"/>
        </w:rPr>
        <w:t>her</w:t>
      </w:r>
      <w:r w:rsidR="00DA4B2B">
        <w:rPr>
          <w:rFonts w:ascii="Times New Roman" w:hAnsi="Times New Roman" w:cs="Times New Roman"/>
          <w:sz w:val="24"/>
          <w:szCs w:val="24"/>
          <w:lang w:val="en-GB"/>
        </w:rPr>
        <w:t xml:space="preserve">eas </w:t>
      </w:r>
      <w:r w:rsidR="00103DC3">
        <w:rPr>
          <w:rFonts w:ascii="Times New Roman" w:hAnsi="Times New Roman" w:cs="Times New Roman"/>
          <w:sz w:val="24"/>
          <w:szCs w:val="24"/>
          <w:lang w:val="en-GB"/>
        </w:rPr>
        <w:t xml:space="preserve">the transition seems still to be </w:t>
      </w:r>
      <w:r w:rsidR="003C3856">
        <w:rPr>
          <w:rFonts w:ascii="Times New Roman" w:hAnsi="Times New Roman" w:cs="Times New Roman"/>
          <w:sz w:val="24"/>
          <w:szCs w:val="24"/>
          <w:lang w:val="en-GB"/>
        </w:rPr>
        <w:t>in progress</w:t>
      </w:r>
      <w:r w:rsidR="00A72401">
        <w:rPr>
          <w:rFonts w:ascii="Times New Roman" w:hAnsi="Times New Roman" w:cs="Times New Roman"/>
          <w:sz w:val="24"/>
          <w:szCs w:val="24"/>
          <w:lang w:val="en-GB"/>
        </w:rPr>
        <w:t xml:space="preserve"> in Finland</w:t>
      </w:r>
      <w:r w:rsidR="003C3856">
        <w:rPr>
          <w:rFonts w:ascii="Times New Roman" w:hAnsi="Times New Roman" w:cs="Times New Roman"/>
          <w:sz w:val="24"/>
          <w:szCs w:val="24"/>
          <w:lang w:val="en-GB"/>
        </w:rPr>
        <w:t>.</w:t>
      </w:r>
    </w:p>
    <w:p w14:paraId="63E07DF8" w14:textId="01FA4A5A" w:rsidR="00667897" w:rsidRPr="007E7525" w:rsidRDefault="00B37A92" w:rsidP="00441AD9">
      <w:pPr>
        <w:spacing w:line="360" w:lineRule="auto"/>
        <w:jc w:val="both"/>
        <w:rPr>
          <w:rFonts w:ascii="Times New Roman" w:hAnsi="Times New Roman" w:cs="Times New Roman"/>
          <w:b/>
          <w:bCs/>
          <w:sz w:val="20"/>
          <w:szCs w:val="20"/>
          <w:lang w:val="en-GB"/>
        </w:rPr>
      </w:pPr>
      <w:r>
        <w:rPr>
          <w:rFonts w:ascii="Times New Roman" w:hAnsi="Times New Roman" w:cs="Times New Roman"/>
          <w:b/>
          <w:bCs/>
          <w:sz w:val="24"/>
          <w:szCs w:val="24"/>
          <w:lang w:val="en-GB"/>
        </w:rPr>
        <w:t>Table 1. Features of pattern bargaining in the Nordic countries</w:t>
      </w:r>
    </w:p>
    <w:tbl>
      <w:tblPr>
        <w:tblStyle w:val="TableGrid"/>
        <w:tblW w:w="0" w:type="auto"/>
        <w:tblLook w:val="04A0" w:firstRow="1" w:lastRow="0" w:firstColumn="1" w:lastColumn="0" w:noHBand="0" w:noVBand="1"/>
      </w:tblPr>
      <w:tblGrid>
        <w:gridCol w:w="1812"/>
        <w:gridCol w:w="1812"/>
        <w:gridCol w:w="1812"/>
        <w:gridCol w:w="1813"/>
        <w:gridCol w:w="1813"/>
      </w:tblGrid>
      <w:tr w:rsidR="00B37A92" w:rsidRPr="007E7525" w14:paraId="3AECE3E7" w14:textId="77777777" w:rsidTr="00B37A92">
        <w:tc>
          <w:tcPr>
            <w:tcW w:w="1812" w:type="dxa"/>
          </w:tcPr>
          <w:p w14:paraId="7C34E8A1" w14:textId="77777777" w:rsidR="00B37A92" w:rsidRPr="007E7525" w:rsidRDefault="00B37A92" w:rsidP="00441AD9">
            <w:pPr>
              <w:spacing w:line="360" w:lineRule="auto"/>
              <w:jc w:val="both"/>
              <w:rPr>
                <w:rFonts w:ascii="Times New Roman" w:hAnsi="Times New Roman" w:cs="Times New Roman"/>
                <w:b/>
                <w:bCs/>
                <w:sz w:val="20"/>
                <w:szCs w:val="20"/>
                <w:lang w:val="en-GB"/>
              </w:rPr>
            </w:pPr>
          </w:p>
        </w:tc>
        <w:tc>
          <w:tcPr>
            <w:tcW w:w="1812" w:type="dxa"/>
          </w:tcPr>
          <w:p w14:paraId="14CD6CD1" w14:textId="13B0118D" w:rsidR="00B37A92" w:rsidRPr="007E7525" w:rsidRDefault="00B37A92" w:rsidP="00441AD9">
            <w:pPr>
              <w:spacing w:line="360" w:lineRule="auto"/>
              <w:jc w:val="both"/>
              <w:rPr>
                <w:rFonts w:ascii="Times New Roman" w:hAnsi="Times New Roman" w:cs="Times New Roman"/>
                <w:i/>
                <w:iCs/>
                <w:sz w:val="20"/>
                <w:szCs w:val="20"/>
                <w:lang w:val="en-GB"/>
              </w:rPr>
            </w:pPr>
            <w:r w:rsidRPr="007E7525">
              <w:rPr>
                <w:rFonts w:ascii="Times New Roman" w:hAnsi="Times New Roman" w:cs="Times New Roman"/>
                <w:i/>
                <w:iCs/>
                <w:sz w:val="20"/>
                <w:szCs w:val="20"/>
                <w:lang w:val="en-GB"/>
              </w:rPr>
              <w:t>Denmark</w:t>
            </w:r>
          </w:p>
        </w:tc>
        <w:tc>
          <w:tcPr>
            <w:tcW w:w="1812" w:type="dxa"/>
          </w:tcPr>
          <w:p w14:paraId="27D43903" w14:textId="1B565C28" w:rsidR="00B37A92" w:rsidRPr="007E7525" w:rsidRDefault="00B37A92" w:rsidP="00441AD9">
            <w:pPr>
              <w:spacing w:line="360" w:lineRule="auto"/>
              <w:jc w:val="both"/>
              <w:rPr>
                <w:rFonts w:ascii="Times New Roman" w:hAnsi="Times New Roman" w:cs="Times New Roman"/>
                <w:i/>
                <w:iCs/>
                <w:sz w:val="20"/>
                <w:szCs w:val="20"/>
                <w:lang w:val="en-GB"/>
              </w:rPr>
            </w:pPr>
            <w:r w:rsidRPr="007E7525">
              <w:rPr>
                <w:rFonts w:ascii="Times New Roman" w:hAnsi="Times New Roman" w:cs="Times New Roman"/>
                <w:i/>
                <w:iCs/>
                <w:sz w:val="20"/>
                <w:szCs w:val="20"/>
                <w:lang w:val="en-GB"/>
              </w:rPr>
              <w:t>Finland</w:t>
            </w:r>
          </w:p>
        </w:tc>
        <w:tc>
          <w:tcPr>
            <w:tcW w:w="1813" w:type="dxa"/>
          </w:tcPr>
          <w:p w14:paraId="139BEC94" w14:textId="7DCC8B77" w:rsidR="00B37A92" w:rsidRPr="007E7525" w:rsidRDefault="00B37A92" w:rsidP="00441AD9">
            <w:pPr>
              <w:spacing w:line="360" w:lineRule="auto"/>
              <w:jc w:val="both"/>
              <w:rPr>
                <w:rFonts w:ascii="Times New Roman" w:hAnsi="Times New Roman" w:cs="Times New Roman"/>
                <w:i/>
                <w:iCs/>
                <w:sz w:val="20"/>
                <w:szCs w:val="20"/>
                <w:lang w:val="en-GB"/>
              </w:rPr>
            </w:pPr>
            <w:r w:rsidRPr="007E7525">
              <w:rPr>
                <w:rFonts w:ascii="Times New Roman" w:hAnsi="Times New Roman" w:cs="Times New Roman"/>
                <w:i/>
                <w:iCs/>
                <w:sz w:val="20"/>
                <w:szCs w:val="20"/>
                <w:lang w:val="en-GB"/>
              </w:rPr>
              <w:t>Norway</w:t>
            </w:r>
          </w:p>
        </w:tc>
        <w:tc>
          <w:tcPr>
            <w:tcW w:w="1813" w:type="dxa"/>
          </w:tcPr>
          <w:p w14:paraId="5FCF9DFD" w14:textId="5C72689F" w:rsidR="00B37A92" w:rsidRPr="007E7525" w:rsidRDefault="00B37A92" w:rsidP="00441AD9">
            <w:pPr>
              <w:spacing w:line="360" w:lineRule="auto"/>
              <w:jc w:val="both"/>
              <w:rPr>
                <w:rFonts w:ascii="Times New Roman" w:hAnsi="Times New Roman" w:cs="Times New Roman"/>
                <w:i/>
                <w:iCs/>
                <w:sz w:val="20"/>
                <w:szCs w:val="20"/>
                <w:lang w:val="en-GB"/>
              </w:rPr>
            </w:pPr>
            <w:r w:rsidRPr="007E7525">
              <w:rPr>
                <w:rFonts w:ascii="Times New Roman" w:hAnsi="Times New Roman" w:cs="Times New Roman"/>
                <w:i/>
                <w:iCs/>
                <w:sz w:val="20"/>
                <w:szCs w:val="20"/>
                <w:lang w:val="en-GB"/>
              </w:rPr>
              <w:t>Sweden</w:t>
            </w:r>
          </w:p>
        </w:tc>
      </w:tr>
      <w:tr w:rsidR="00B37A92" w:rsidRPr="00B93258" w14:paraId="431AF6CC" w14:textId="77777777" w:rsidTr="00B37A92">
        <w:tc>
          <w:tcPr>
            <w:tcW w:w="1812" w:type="dxa"/>
          </w:tcPr>
          <w:p w14:paraId="2CEFEB76" w14:textId="282F036A" w:rsidR="00B37A92" w:rsidRPr="007E7525" w:rsidRDefault="00B37A92" w:rsidP="00145635">
            <w:pPr>
              <w:rPr>
                <w:rFonts w:ascii="Times New Roman" w:hAnsi="Times New Roman" w:cs="Times New Roman"/>
                <w:i/>
                <w:iCs/>
                <w:sz w:val="20"/>
                <w:szCs w:val="20"/>
                <w:lang w:val="en-GB"/>
              </w:rPr>
            </w:pPr>
            <w:r w:rsidRPr="007E7525">
              <w:rPr>
                <w:rFonts w:ascii="Times New Roman" w:hAnsi="Times New Roman" w:cs="Times New Roman"/>
                <w:i/>
                <w:iCs/>
                <w:sz w:val="20"/>
                <w:szCs w:val="20"/>
                <w:lang w:val="en-GB"/>
              </w:rPr>
              <w:t>Role of private-sector employer peak organisation</w:t>
            </w:r>
          </w:p>
        </w:tc>
        <w:tc>
          <w:tcPr>
            <w:tcW w:w="1812" w:type="dxa"/>
          </w:tcPr>
          <w:p w14:paraId="0B28DFD8" w14:textId="635E0B2B" w:rsidR="00B37A92" w:rsidRPr="007E7525" w:rsidRDefault="00BF313D" w:rsidP="00145635">
            <w:pPr>
              <w:rPr>
                <w:rFonts w:ascii="Times New Roman" w:hAnsi="Times New Roman" w:cs="Times New Roman"/>
                <w:sz w:val="20"/>
                <w:szCs w:val="20"/>
                <w:lang w:val="en-GB"/>
              </w:rPr>
            </w:pPr>
            <w:r>
              <w:rPr>
                <w:rFonts w:ascii="Times New Roman" w:hAnsi="Times New Roman" w:cs="Times New Roman"/>
                <w:sz w:val="20"/>
                <w:szCs w:val="20"/>
                <w:lang w:val="en-GB"/>
              </w:rPr>
              <w:t xml:space="preserve">Concludes framework </w:t>
            </w:r>
            <w:r w:rsidR="00643E11">
              <w:rPr>
                <w:rFonts w:ascii="Times New Roman" w:hAnsi="Times New Roman" w:cs="Times New Roman"/>
                <w:sz w:val="20"/>
                <w:szCs w:val="20"/>
                <w:lang w:val="en-GB"/>
              </w:rPr>
              <w:t xml:space="preserve">agreement before wage rounds on </w:t>
            </w:r>
            <w:r w:rsidR="00DB17F1">
              <w:rPr>
                <w:rFonts w:ascii="Times New Roman" w:hAnsi="Times New Roman" w:cs="Times New Roman"/>
                <w:sz w:val="20"/>
                <w:szCs w:val="20"/>
                <w:lang w:val="en-GB"/>
              </w:rPr>
              <w:t xml:space="preserve">timetables </w:t>
            </w:r>
            <w:r w:rsidR="006C2824">
              <w:rPr>
                <w:rFonts w:ascii="Times New Roman" w:hAnsi="Times New Roman" w:cs="Times New Roman"/>
                <w:sz w:val="20"/>
                <w:szCs w:val="20"/>
                <w:lang w:val="en-GB"/>
              </w:rPr>
              <w:t xml:space="preserve">and </w:t>
            </w:r>
            <w:r w:rsidR="00C64CEB">
              <w:rPr>
                <w:rFonts w:ascii="Times New Roman" w:hAnsi="Times New Roman" w:cs="Times New Roman"/>
                <w:sz w:val="20"/>
                <w:szCs w:val="20"/>
                <w:lang w:val="en-GB"/>
              </w:rPr>
              <w:t>issues joint st</w:t>
            </w:r>
            <w:r w:rsidR="00902E05">
              <w:rPr>
                <w:rFonts w:ascii="Times New Roman" w:hAnsi="Times New Roman" w:cs="Times New Roman"/>
                <w:sz w:val="20"/>
                <w:szCs w:val="20"/>
                <w:lang w:val="en-GB"/>
              </w:rPr>
              <w:t xml:space="preserve">atements with the union </w:t>
            </w:r>
            <w:r w:rsidR="004B0C91">
              <w:rPr>
                <w:rFonts w:ascii="Times New Roman" w:hAnsi="Times New Roman" w:cs="Times New Roman"/>
                <w:sz w:val="20"/>
                <w:szCs w:val="20"/>
                <w:lang w:val="en-GB"/>
              </w:rPr>
              <w:t>counterpart</w:t>
            </w:r>
            <w:r w:rsidR="00902E05">
              <w:rPr>
                <w:rFonts w:ascii="Times New Roman" w:hAnsi="Times New Roman" w:cs="Times New Roman"/>
                <w:sz w:val="20"/>
                <w:szCs w:val="20"/>
                <w:lang w:val="en-GB"/>
              </w:rPr>
              <w:t xml:space="preserve"> on bargaining results.</w:t>
            </w:r>
            <w:r w:rsidR="00643E11">
              <w:rPr>
                <w:rFonts w:ascii="Times New Roman" w:hAnsi="Times New Roman" w:cs="Times New Roman"/>
                <w:sz w:val="20"/>
                <w:szCs w:val="20"/>
                <w:lang w:val="en-GB"/>
              </w:rPr>
              <w:t xml:space="preserve"> </w:t>
            </w:r>
            <w:r w:rsidR="00015815">
              <w:rPr>
                <w:rFonts w:ascii="Times New Roman" w:hAnsi="Times New Roman" w:cs="Times New Roman"/>
                <w:sz w:val="20"/>
                <w:szCs w:val="20"/>
                <w:lang w:val="en-GB"/>
              </w:rPr>
              <w:t>Approves</w:t>
            </w:r>
            <w:r w:rsidR="00B37A92" w:rsidRPr="007E7525">
              <w:rPr>
                <w:rFonts w:ascii="Times New Roman" w:hAnsi="Times New Roman" w:cs="Times New Roman"/>
                <w:sz w:val="20"/>
                <w:szCs w:val="20"/>
                <w:lang w:val="en-GB"/>
              </w:rPr>
              <w:t xml:space="preserve"> industry-level agreements. Assists in formulating final mediation proposal. </w:t>
            </w:r>
          </w:p>
        </w:tc>
        <w:tc>
          <w:tcPr>
            <w:tcW w:w="1812" w:type="dxa"/>
          </w:tcPr>
          <w:p w14:paraId="3A200A01" w14:textId="701482BC" w:rsidR="00B37A92" w:rsidRPr="007E7525" w:rsidRDefault="00145635" w:rsidP="00145635">
            <w:pPr>
              <w:rPr>
                <w:rFonts w:ascii="Times New Roman" w:hAnsi="Times New Roman" w:cs="Times New Roman"/>
                <w:sz w:val="20"/>
                <w:szCs w:val="20"/>
                <w:lang w:val="en-GB"/>
              </w:rPr>
            </w:pPr>
            <w:r w:rsidRPr="007E7525">
              <w:rPr>
                <w:rFonts w:ascii="Times New Roman" w:hAnsi="Times New Roman" w:cs="Times New Roman"/>
                <w:sz w:val="20"/>
                <w:szCs w:val="20"/>
                <w:lang w:val="en-GB"/>
              </w:rPr>
              <w:t>Some coordination activities.</w:t>
            </w:r>
          </w:p>
        </w:tc>
        <w:tc>
          <w:tcPr>
            <w:tcW w:w="1813" w:type="dxa"/>
          </w:tcPr>
          <w:p w14:paraId="7A2CAC77" w14:textId="589D3AC3" w:rsidR="00B37A92" w:rsidRPr="007E7525" w:rsidRDefault="00145635" w:rsidP="00145635">
            <w:pPr>
              <w:rPr>
                <w:rFonts w:ascii="Times New Roman" w:hAnsi="Times New Roman" w:cs="Times New Roman"/>
                <w:sz w:val="20"/>
                <w:szCs w:val="20"/>
                <w:lang w:val="en-GB"/>
              </w:rPr>
            </w:pPr>
            <w:r w:rsidRPr="007E7525">
              <w:rPr>
                <w:rFonts w:ascii="Times New Roman" w:hAnsi="Times New Roman" w:cs="Times New Roman"/>
                <w:sz w:val="20"/>
                <w:szCs w:val="20"/>
                <w:lang w:val="en-GB"/>
              </w:rPr>
              <w:t xml:space="preserve">Formulates the norm under industry-level bargaining after conclusion of the manufacturing agreement. Still sometimes a party to centralised agreements. </w:t>
            </w:r>
          </w:p>
        </w:tc>
        <w:tc>
          <w:tcPr>
            <w:tcW w:w="1813" w:type="dxa"/>
          </w:tcPr>
          <w:p w14:paraId="1EE144D9" w14:textId="32479066" w:rsidR="00B37A92" w:rsidRPr="007E7525" w:rsidRDefault="00015815" w:rsidP="00145635">
            <w:pPr>
              <w:rPr>
                <w:rFonts w:ascii="Times New Roman" w:hAnsi="Times New Roman" w:cs="Times New Roman"/>
                <w:sz w:val="20"/>
                <w:szCs w:val="20"/>
                <w:lang w:val="en-GB"/>
              </w:rPr>
            </w:pPr>
            <w:r>
              <w:rPr>
                <w:rFonts w:ascii="Times New Roman" w:hAnsi="Times New Roman" w:cs="Times New Roman"/>
                <w:sz w:val="20"/>
                <w:szCs w:val="20"/>
                <w:lang w:val="en-GB"/>
              </w:rPr>
              <w:t>Approves</w:t>
            </w:r>
            <w:r w:rsidR="00145635" w:rsidRPr="007E7525">
              <w:rPr>
                <w:rFonts w:ascii="Times New Roman" w:hAnsi="Times New Roman" w:cs="Times New Roman"/>
                <w:sz w:val="20"/>
                <w:szCs w:val="20"/>
                <w:lang w:val="en-GB"/>
              </w:rPr>
              <w:t xml:space="preserve"> industry-level agreements.</w:t>
            </w:r>
          </w:p>
        </w:tc>
      </w:tr>
      <w:tr w:rsidR="00B37A92" w:rsidRPr="006402A9" w14:paraId="2524B1DD" w14:textId="77777777" w:rsidTr="00B37A92">
        <w:tc>
          <w:tcPr>
            <w:tcW w:w="1812" w:type="dxa"/>
          </w:tcPr>
          <w:p w14:paraId="7C7AD243" w14:textId="0364E7FE" w:rsidR="00B37A92" w:rsidRPr="007E7525" w:rsidRDefault="00145635" w:rsidP="00145635">
            <w:pPr>
              <w:rPr>
                <w:rFonts w:ascii="Times New Roman" w:hAnsi="Times New Roman" w:cs="Times New Roman"/>
                <w:i/>
                <w:iCs/>
                <w:sz w:val="20"/>
                <w:szCs w:val="20"/>
                <w:lang w:val="en-GB"/>
              </w:rPr>
            </w:pPr>
            <w:r w:rsidRPr="007E7525">
              <w:rPr>
                <w:rFonts w:ascii="Times New Roman" w:hAnsi="Times New Roman" w:cs="Times New Roman"/>
                <w:i/>
                <w:iCs/>
                <w:sz w:val="20"/>
                <w:szCs w:val="20"/>
                <w:lang w:val="en-GB"/>
              </w:rPr>
              <w:t>Role of union peak organisations</w:t>
            </w:r>
          </w:p>
        </w:tc>
        <w:tc>
          <w:tcPr>
            <w:tcW w:w="1812" w:type="dxa"/>
          </w:tcPr>
          <w:p w14:paraId="0EE15299" w14:textId="7F163113" w:rsidR="00B37A92" w:rsidRPr="007E7525" w:rsidRDefault="004B0C91" w:rsidP="00145635">
            <w:pPr>
              <w:rPr>
                <w:rFonts w:ascii="Times New Roman" w:hAnsi="Times New Roman" w:cs="Times New Roman"/>
                <w:sz w:val="20"/>
                <w:szCs w:val="20"/>
                <w:lang w:val="en-GB"/>
              </w:rPr>
            </w:pPr>
            <w:r>
              <w:rPr>
                <w:rFonts w:ascii="Times New Roman" w:hAnsi="Times New Roman" w:cs="Times New Roman"/>
                <w:sz w:val="20"/>
                <w:szCs w:val="20"/>
                <w:lang w:val="en-GB"/>
              </w:rPr>
              <w:t xml:space="preserve">Conclude framework agreement before wage rounds on timetables and issues joint statements with the employer counterpart on bargaining results. </w:t>
            </w:r>
            <w:r w:rsidR="00145635" w:rsidRPr="007E7525">
              <w:rPr>
                <w:rFonts w:ascii="Times New Roman" w:hAnsi="Times New Roman" w:cs="Times New Roman"/>
                <w:sz w:val="20"/>
                <w:szCs w:val="20"/>
                <w:lang w:val="en-GB"/>
              </w:rPr>
              <w:t>Assists in formulating final mediation proposal.</w:t>
            </w:r>
          </w:p>
        </w:tc>
        <w:tc>
          <w:tcPr>
            <w:tcW w:w="1812" w:type="dxa"/>
          </w:tcPr>
          <w:p w14:paraId="752A6D9A" w14:textId="65B8EFAF" w:rsidR="00B37A92" w:rsidRPr="007E7525" w:rsidRDefault="00145635" w:rsidP="00145635">
            <w:pPr>
              <w:rPr>
                <w:rFonts w:ascii="Times New Roman" w:hAnsi="Times New Roman" w:cs="Times New Roman"/>
                <w:sz w:val="20"/>
                <w:szCs w:val="20"/>
                <w:lang w:val="en-GB"/>
              </w:rPr>
            </w:pPr>
            <w:r w:rsidRPr="007E7525">
              <w:rPr>
                <w:rFonts w:ascii="Times New Roman" w:hAnsi="Times New Roman" w:cs="Times New Roman"/>
                <w:sz w:val="20"/>
                <w:szCs w:val="20"/>
                <w:lang w:val="en-GB"/>
              </w:rPr>
              <w:t>Some coordination activities.</w:t>
            </w:r>
          </w:p>
        </w:tc>
        <w:tc>
          <w:tcPr>
            <w:tcW w:w="1813" w:type="dxa"/>
          </w:tcPr>
          <w:p w14:paraId="77BBABB9" w14:textId="5847B9F2" w:rsidR="00B37A92" w:rsidRPr="007E7525" w:rsidRDefault="00145635" w:rsidP="00145635">
            <w:pPr>
              <w:rPr>
                <w:rFonts w:ascii="Times New Roman" w:hAnsi="Times New Roman" w:cs="Times New Roman"/>
                <w:sz w:val="20"/>
                <w:szCs w:val="20"/>
                <w:lang w:val="en-GB"/>
              </w:rPr>
            </w:pPr>
            <w:r w:rsidRPr="007E7525">
              <w:rPr>
                <w:rFonts w:ascii="Times New Roman" w:hAnsi="Times New Roman" w:cs="Times New Roman"/>
                <w:sz w:val="20"/>
                <w:szCs w:val="20"/>
                <w:lang w:val="en-GB"/>
              </w:rPr>
              <w:t>Private-sector employer peak organisation formulates the norm in understanding with peak organisation for blue-collar workers (</w:t>
            </w:r>
            <w:r w:rsidRPr="007E7525">
              <w:rPr>
                <w:rFonts w:ascii="Times New Roman" w:hAnsi="Times New Roman" w:cs="Times New Roman"/>
                <w:i/>
                <w:iCs/>
                <w:sz w:val="20"/>
                <w:szCs w:val="20"/>
                <w:lang w:val="en-GB"/>
              </w:rPr>
              <w:t>LO</w:t>
            </w:r>
            <w:r w:rsidRPr="007E7525">
              <w:rPr>
                <w:rFonts w:ascii="Times New Roman" w:hAnsi="Times New Roman" w:cs="Times New Roman"/>
                <w:sz w:val="20"/>
                <w:szCs w:val="20"/>
                <w:lang w:val="en-GB"/>
              </w:rPr>
              <w:t>).</w:t>
            </w:r>
            <w:r w:rsidR="00F47A42">
              <w:rPr>
                <w:rFonts w:ascii="Times New Roman" w:hAnsi="Times New Roman" w:cs="Times New Roman"/>
                <w:sz w:val="20"/>
                <w:szCs w:val="20"/>
                <w:lang w:val="en-GB"/>
              </w:rPr>
              <w:t xml:space="preserve"> Some</w:t>
            </w:r>
            <w:r w:rsidR="00696BAF">
              <w:rPr>
                <w:rFonts w:ascii="Times New Roman" w:hAnsi="Times New Roman" w:cs="Times New Roman"/>
                <w:sz w:val="20"/>
                <w:szCs w:val="20"/>
                <w:lang w:val="en-GB"/>
              </w:rPr>
              <w:t>times a party to centralised agreements.</w:t>
            </w:r>
          </w:p>
        </w:tc>
        <w:tc>
          <w:tcPr>
            <w:tcW w:w="1813" w:type="dxa"/>
          </w:tcPr>
          <w:p w14:paraId="75B7BEEE" w14:textId="30229753" w:rsidR="00B37A92" w:rsidRPr="007E7525" w:rsidRDefault="00145635" w:rsidP="00145635">
            <w:pPr>
              <w:rPr>
                <w:rFonts w:ascii="Times New Roman" w:hAnsi="Times New Roman" w:cs="Times New Roman"/>
                <w:sz w:val="20"/>
                <w:szCs w:val="20"/>
                <w:lang w:val="en-GB"/>
              </w:rPr>
            </w:pPr>
            <w:r w:rsidRPr="007E7525">
              <w:rPr>
                <w:rFonts w:ascii="Times New Roman" w:hAnsi="Times New Roman" w:cs="Times New Roman"/>
                <w:sz w:val="20"/>
                <w:szCs w:val="20"/>
                <w:lang w:val="en-GB"/>
              </w:rPr>
              <w:t>Coordination of wage demands within peak organisation for blue-collar workers (LO).</w:t>
            </w:r>
          </w:p>
        </w:tc>
      </w:tr>
      <w:tr w:rsidR="00B37A92" w:rsidRPr="007E7525" w14:paraId="55F6AE4C" w14:textId="77777777" w:rsidTr="00B37A92">
        <w:tc>
          <w:tcPr>
            <w:tcW w:w="1812" w:type="dxa"/>
          </w:tcPr>
          <w:p w14:paraId="0BC83970" w14:textId="4C9A7BB6" w:rsidR="00B37A92" w:rsidRPr="007E7525" w:rsidRDefault="00145635" w:rsidP="00145635">
            <w:pPr>
              <w:rPr>
                <w:rFonts w:ascii="Times New Roman" w:hAnsi="Times New Roman" w:cs="Times New Roman"/>
                <w:i/>
                <w:iCs/>
                <w:sz w:val="20"/>
                <w:szCs w:val="20"/>
                <w:lang w:val="en-GB"/>
              </w:rPr>
            </w:pPr>
            <w:r w:rsidRPr="007E7525">
              <w:rPr>
                <w:rFonts w:ascii="Times New Roman" w:hAnsi="Times New Roman" w:cs="Times New Roman"/>
                <w:i/>
                <w:iCs/>
                <w:sz w:val="20"/>
                <w:szCs w:val="20"/>
                <w:lang w:val="en-GB"/>
              </w:rPr>
              <w:t>Role of government</w:t>
            </w:r>
          </w:p>
        </w:tc>
        <w:tc>
          <w:tcPr>
            <w:tcW w:w="1812" w:type="dxa"/>
          </w:tcPr>
          <w:p w14:paraId="1B504279" w14:textId="68CD758D" w:rsidR="00B37A92" w:rsidRPr="00B73C88" w:rsidRDefault="00B73C88" w:rsidP="00B73C88">
            <w:pPr>
              <w:rPr>
                <w:rFonts w:ascii="Times New Roman" w:hAnsi="Times New Roman" w:cs="Times New Roman"/>
                <w:sz w:val="20"/>
                <w:szCs w:val="20"/>
                <w:lang w:val="en-GB"/>
              </w:rPr>
            </w:pPr>
            <w:r w:rsidRPr="00B73C88">
              <w:rPr>
                <w:rFonts w:ascii="Times New Roman" w:hAnsi="Times New Roman" w:cs="Times New Roman"/>
                <w:sz w:val="20"/>
                <w:szCs w:val="20"/>
                <w:lang w:val="en-GB"/>
              </w:rPr>
              <w:t>Tripartite body provid</w:t>
            </w:r>
            <w:r w:rsidR="00696BAF">
              <w:rPr>
                <w:rFonts w:ascii="Times New Roman" w:hAnsi="Times New Roman" w:cs="Times New Roman"/>
                <w:sz w:val="20"/>
                <w:szCs w:val="20"/>
                <w:lang w:val="en-GB"/>
              </w:rPr>
              <w:t>es</w:t>
            </w:r>
            <w:r w:rsidRPr="00B73C88">
              <w:rPr>
                <w:rFonts w:ascii="Times New Roman" w:hAnsi="Times New Roman" w:cs="Times New Roman"/>
                <w:sz w:val="20"/>
                <w:szCs w:val="20"/>
                <w:lang w:val="en-GB"/>
              </w:rPr>
              <w:t xml:space="preserve"> wage statistics</w:t>
            </w:r>
            <w:r w:rsidR="00652AF7">
              <w:rPr>
                <w:rFonts w:ascii="Times New Roman" w:hAnsi="Times New Roman" w:cs="Times New Roman"/>
                <w:sz w:val="20"/>
                <w:szCs w:val="20"/>
                <w:lang w:val="en-GB"/>
              </w:rPr>
              <w:t>. Deliberations on public-sector wage structure in recent government commission comprising economic experts and representatives of labour market organisations.</w:t>
            </w:r>
          </w:p>
        </w:tc>
        <w:tc>
          <w:tcPr>
            <w:tcW w:w="1812" w:type="dxa"/>
          </w:tcPr>
          <w:p w14:paraId="7112EC0D" w14:textId="5A712DE2" w:rsidR="00B37A92" w:rsidRPr="001F2D45" w:rsidRDefault="001F2D45" w:rsidP="00B73C88">
            <w:pPr>
              <w:rPr>
                <w:rFonts w:ascii="Times New Roman" w:hAnsi="Times New Roman" w:cs="Times New Roman"/>
                <w:sz w:val="20"/>
                <w:szCs w:val="20"/>
                <w:lang w:val="en-GB"/>
              </w:rPr>
            </w:pPr>
            <w:r w:rsidRPr="001F2D45">
              <w:rPr>
                <w:rFonts w:ascii="Times New Roman" w:hAnsi="Times New Roman" w:cs="Times New Roman"/>
                <w:sz w:val="20"/>
                <w:szCs w:val="20"/>
                <w:lang w:val="en-GB"/>
              </w:rPr>
              <w:t>Legal extension</w:t>
            </w:r>
            <w:r w:rsidR="001A651A">
              <w:rPr>
                <w:rFonts w:ascii="Times New Roman" w:hAnsi="Times New Roman" w:cs="Times New Roman"/>
                <w:sz w:val="20"/>
                <w:szCs w:val="20"/>
                <w:lang w:val="en-GB"/>
              </w:rPr>
              <w:t xml:space="preserve"> </w:t>
            </w:r>
            <w:r w:rsidRPr="001F2D45">
              <w:rPr>
                <w:rFonts w:ascii="Times New Roman" w:hAnsi="Times New Roman" w:cs="Times New Roman"/>
                <w:sz w:val="20"/>
                <w:szCs w:val="20"/>
                <w:lang w:val="en-GB"/>
              </w:rPr>
              <w:t>of collective agreements that are regarded as representative to all firms in an industry</w:t>
            </w:r>
            <w:r w:rsidR="00D95C12">
              <w:rPr>
                <w:rFonts w:ascii="Times New Roman" w:hAnsi="Times New Roman" w:cs="Times New Roman"/>
                <w:sz w:val="20"/>
                <w:szCs w:val="20"/>
                <w:lang w:val="en-GB"/>
              </w:rPr>
              <w:t xml:space="preserve"> by</w:t>
            </w:r>
            <w:r w:rsidR="00325853">
              <w:rPr>
                <w:rFonts w:ascii="Times New Roman" w:hAnsi="Times New Roman" w:cs="Times New Roman"/>
                <w:sz w:val="20"/>
                <w:szCs w:val="20"/>
                <w:lang w:val="en-GB"/>
              </w:rPr>
              <w:t xml:space="preserve"> a</w:t>
            </w:r>
            <w:r w:rsidR="00D95C12">
              <w:rPr>
                <w:rFonts w:ascii="Times New Roman" w:hAnsi="Times New Roman" w:cs="Times New Roman"/>
                <w:sz w:val="20"/>
                <w:szCs w:val="20"/>
                <w:lang w:val="en-GB"/>
              </w:rPr>
              <w:t xml:space="preserve"> special board</w:t>
            </w:r>
            <w:r w:rsidRPr="001F2D45">
              <w:rPr>
                <w:rFonts w:ascii="Times New Roman" w:hAnsi="Times New Roman" w:cs="Times New Roman"/>
                <w:sz w:val="20"/>
                <w:szCs w:val="20"/>
                <w:lang w:val="en-GB"/>
              </w:rPr>
              <w:t>.</w:t>
            </w:r>
            <w:r w:rsidR="00B73C88">
              <w:rPr>
                <w:rFonts w:ascii="Times New Roman" w:hAnsi="Times New Roman" w:cs="Times New Roman"/>
                <w:sz w:val="20"/>
                <w:szCs w:val="20"/>
                <w:lang w:val="en-GB"/>
              </w:rPr>
              <w:t xml:space="preserve"> Tripartite body providing wage statistics.</w:t>
            </w:r>
          </w:p>
        </w:tc>
        <w:tc>
          <w:tcPr>
            <w:tcW w:w="1813" w:type="dxa"/>
          </w:tcPr>
          <w:p w14:paraId="7DF6B597" w14:textId="41EC3F83" w:rsidR="00B37A92" w:rsidRPr="007E7525" w:rsidRDefault="00145635" w:rsidP="00145635">
            <w:pPr>
              <w:rPr>
                <w:rFonts w:ascii="Times New Roman" w:hAnsi="Times New Roman" w:cs="Times New Roman"/>
                <w:sz w:val="20"/>
                <w:szCs w:val="20"/>
                <w:lang w:val="en-GB"/>
              </w:rPr>
            </w:pPr>
            <w:r w:rsidRPr="007E7525">
              <w:rPr>
                <w:rFonts w:ascii="Times New Roman" w:hAnsi="Times New Roman" w:cs="Times New Roman"/>
                <w:sz w:val="20"/>
                <w:szCs w:val="20"/>
                <w:lang w:val="en-GB"/>
              </w:rPr>
              <w:t xml:space="preserve">Tripartite bodies aimed at creating a common understanding of the economic situation. Consensus building in government commissions on the bargaining system. Conflicts are often ended with </w:t>
            </w:r>
            <w:r w:rsidRPr="007E7525">
              <w:rPr>
                <w:rFonts w:ascii="Times New Roman" w:hAnsi="Times New Roman" w:cs="Times New Roman"/>
                <w:sz w:val="20"/>
                <w:szCs w:val="20"/>
                <w:lang w:val="en-GB"/>
              </w:rPr>
              <w:lastRenderedPageBreak/>
              <w:t>legislation on wage increases.</w:t>
            </w:r>
          </w:p>
        </w:tc>
        <w:tc>
          <w:tcPr>
            <w:tcW w:w="1813" w:type="dxa"/>
          </w:tcPr>
          <w:p w14:paraId="7CA16042" w14:textId="2E721D43" w:rsidR="00B37A92" w:rsidRPr="007E7525" w:rsidRDefault="00145635" w:rsidP="00441AD9">
            <w:pPr>
              <w:spacing w:line="360" w:lineRule="auto"/>
              <w:jc w:val="both"/>
              <w:rPr>
                <w:rFonts w:ascii="Times New Roman" w:hAnsi="Times New Roman" w:cs="Times New Roman"/>
                <w:sz w:val="20"/>
                <w:szCs w:val="20"/>
                <w:lang w:val="en-GB"/>
              </w:rPr>
            </w:pPr>
            <w:r w:rsidRPr="007E7525">
              <w:rPr>
                <w:rFonts w:ascii="Times New Roman" w:hAnsi="Times New Roman" w:cs="Times New Roman"/>
                <w:sz w:val="20"/>
                <w:szCs w:val="20"/>
                <w:lang w:val="en-GB"/>
              </w:rPr>
              <w:lastRenderedPageBreak/>
              <w:t>None.</w:t>
            </w:r>
          </w:p>
        </w:tc>
      </w:tr>
      <w:tr w:rsidR="00B37A92" w:rsidRPr="006402A9" w14:paraId="7DD1B0FC" w14:textId="77777777" w:rsidTr="00B37A92">
        <w:tc>
          <w:tcPr>
            <w:tcW w:w="1812" w:type="dxa"/>
          </w:tcPr>
          <w:p w14:paraId="73899038" w14:textId="22D7D13D" w:rsidR="00B37A92" w:rsidRPr="007E7525" w:rsidRDefault="00145635" w:rsidP="007E7525">
            <w:pPr>
              <w:rPr>
                <w:rFonts w:ascii="Times New Roman" w:hAnsi="Times New Roman" w:cs="Times New Roman"/>
                <w:i/>
                <w:iCs/>
                <w:sz w:val="20"/>
                <w:szCs w:val="20"/>
                <w:lang w:val="en-GB"/>
              </w:rPr>
            </w:pPr>
            <w:r w:rsidRPr="007E7525">
              <w:rPr>
                <w:rFonts w:ascii="Times New Roman" w:hAnsi="Times New Roman" w:cs="Times New Roman"/>
                <w:i/>
                <w:iCs/>
                <w:sz w:val="20"/>
                <w:szCs w:val="20"/>
                <w:lang w:val="en-GB"/>
              </w:rPr>
              <w:t xml:space="preserve">Role of mediation institution </w:t>
            </w:r>
          </w:p>
        </w:tc>
        <w:tc>
          <w:tcPr>
            <w:tcW w:w="1812" w:type="dxa"/>
          </w:tcPr>
          <w:p w14:paraId="7F6EA2C9" w14:textId="5C7168C7" w:rsidR="00B37A92" w:rsidRPr="007E7525" w:rsidRDefault="00145635" w:rsidP="007E7525">
            <w:pPr>
              <w:rPr>
                <w:rFonts w:ascii="Times New Roman" w:hAnsi="Times New Roman" w:cs="Times New Roman"/>
                <w:sz w:val="20"/>
                <w:szCs w:val="20"/>
                <w:lang w:val="en-GB"/>
              </w:rPr>
            </w:pPr>
            <w:r w:rsidRPr="007E7525">
              <w:rPr>
                <w:rFonts w:ascii="Times New Roman" w:hAnsi="Times New Roman" w:cs="Times New Roman"/>
                <w:sz w:val="20"/>
                <w:szCs w:val="20"/>
                <w:lang w:val="en-GB"/>
              </w:rPr>
              <w:t>Mediation proposals in line with the</w:t>
            </w:r>
            <w:r w:rsidR="00D17964">
              <w:rPr>
                <w:rFonts w:ascii="Times New Roman" w:hAnsi="Times New Roman" w:cs="Times New Roman"/>
                <w:sz w:val="20"/>
                <w:szCs w:val="20"/>
                <w:lang w:val="en-GB"/>
              </w:rPr>
              <w:t xml:space="preserve"> </w:t>
            </w:r>
            <w:r w:rsidR="006402A9">
              <w:rPr>
                <w:rFonts w:ascii="Times New Roman" w:hAnsi="Times New Roman" w:cs="Times New Roman"/>
                <w:sz w:val="20"/>
                <w:szCs w:val="20"/>
                <w:lang w:val="en-GB"/>
              </w:rPr>
              <w:t>manufacturing</w:t>
            </w:r>
            <w:r w:rsidRPr="007E7525">
              <w:rPr>
                <w:rFonts w:ascii="Times New Roman" w:hAnsi="Times New Roman" w:cs="Times New Roman"/>
                <w:sz w:val="20"/>
                <w:szCs w:val="20"/>
                <w:lang w:val="en-GB"/>
              </w:rPr>
              <w:t xml:space="preserve"> norm. Power to link all agreements in common vote on both sides of the labour market. </w:t>
            </w:r>
          </w:p>
        </w:tc>
        <w:tc>
          <w:tcPr>
            <w:tcW w:w="1812" w:type="dxa"/>
          </w:tcPr>
          <w:p w14:paraId="5267EF55" w14:textId="2CB40639" w:rsidR="00B37A92" w:rsidRPr="007E7525" w:rsidRDefault="00145635" w:rsidP="007E7525">
            <w:pPr>
              <w:rPr>
                <w:rFonts w:ascii="Times New Roman" w:hAnsi="Times New Roman" w:cs="Times New Roman"/>
                <w:sz w:val="20"/>
                <w:szCs w:val="20"/>
                <w:lang w:val="en-GB"/>
              </w:rPr>
            </w:pPr>
            <w:r w:rsidRPr="007E7525">
              <w:rPr>
                <w:rFonts w:ascii="Times New Roman" w:hAnsi="Times New Roman" w:cs="Times New Roman"/>
                <w:sz w:val="20"/>
                <w:szCs w:val="20"/>
                <w:lang w:val="en-GB"/>
              </w:rPr>
              <w:t xml:space="preserve">Mediation proposal normally in line with the </w:t>
            </w:r>
            <w:r w:rsidR="006402A9">
              <w:rPr>
                <w:rFonts w:ascii="Times New Roman" w:hAnsi="Times New Roman" w:cs="Times New Roman"/>
                <w:sz w:val="20"/>
                <w:szCs w:val="20"/>
                <w:lang w:val="en-GB"/>
              </w:rPr>
              <w:t>manufacturing</w:t>
            </w:r>
            <w:r w:rsidR="00D17964">
              <w:rPr>
                <w:rFonts w:ascii="Times New Roman" w:hAnsi="Times New Roman" w:cs="Times New Roman"/>
                <w:sz w:val="20"/>
                <w:szCs w:val="20"/>
                <w:lang w:val="en-GB"/>
              </w:rPr>
              <w:t xml:space="preserve"> </w:t>
            </w:r>
            <w:r w:rsidRPr="007E7525">
              <w:rPr>
                <w:rFonts w:ascii="Times New Roman" w:hAnsi="Times New Roman" w:cs="Times New Roman"/>
                <w:sz w:val="20"/>
                <w:szCs w:val="20"/>
                <w:lang w:val="en-GB"/>
              </w:rPr>
              <w:t>norm.</w:t>
            </w:r>
            <w:r w:rsidR="007E7525" w:rsidRPr="007E7525">
              <w:rPr>
                <w:rFonts w:ascii="Times New Roman" w:hAnsi="Times New Roman" w:cs="Times New Roman"/>
                <w:sz w:val="20"/>
                <w:szCs w:val="20"/>
                <w:lang w:val="en-GB"/>
              </w:rPr>
              <w:t xml:space="preserve"> Government plans to legislate that mediation proposals cannot exceed the norm.</w:t>
            </w:r>
          </w:p>
        </w:tc>
        <w:tc>
          <w:tcPr>
            <w:tcW w:w="1813" w:type="dxa"/>
          </w:tcPr>
          <w:p w14:paraId="78556286" w14:textId="61A36464" w:rsidR="00B37A92" w:rsidRPr="007E7525" w:rsidRDefault="007E7525" w:rsidP="007E7525">
            <w:pPr>
              <w:rPr>
                <w:rFonts w:ascii="Times New Roman" w:hAnsi="Times New Roman" w:cs="Times New Roman"/>
                <w:sz w:val="20"/>
                <w:szCs w:val="20"/>
                <w:lang w:val="en-GB"/>
              </w:rPr>
            </w:pPr>
            <w:r w:rsidRPr="007E7525">
              <w:rPr>
                <w:rFonts w:ascii="Times New Roman" w:hAnsi="Times New Roman" w:cs="Times New Roman"/>
                <w:sz w:val="20"/>
                <w:szCs w:val="20"/>
                <w:lang w:val="en-GB"/>
              </w:rPr>
              <w:t xml:space="preserve">Mediation proposals normally in line with the </w:t>
            </w:r>
            <w:r w:rsidR="00871144">
              <w:rPr>
                <w:rFonts w:ascii="Times New Roman" w:hAnsi="Times New Roman" w:cs="Times New Roman"/>
                <w:sz w:val="20"/>
                <w:szCs w:val="20"/>
                <w:lang w:val="en-GB"/>
              </w:rPr>
              <w:t xml:space="preserve">manufacturing </w:t>
            </w:r>
            <w:r w:rsidRPr="007E7525">
              <w:rPr>
                <w:rFonts w:ascii="Times New Roman" w:hAnsi="Times New Roman" w:cs="Times New Roman"/>
                <w:sz w:val="20"/>
                <w:szCs w:val="20"/>
                <w:lang w:val="en-GB"/>
              </w:rPr>
              <w:t>norm. Final mediation bid is usually followed if a conflict is terminated through legislation.</w:t>
            </w:r>
          </w:p>
        </w:tc>
        <w:tc>
          <w:tcPr>
            <w:tcW w:w="1813" w:type="dxa"/>
          </w:tcPr>
          <w:p w14:paraId="7EB195ED" w14:textId="3EC0448F" w:rsidR="00B37A92" w:rsidRPr="007E7525" w:rsidRDefault="007E7525" w:rsidP="007E7525">
            <w:pPr>
              <w:rPr>
                <w:rFonts w:ascii="Times New Roman" w:hAnsi="Times New Roman" w:cs="Times New Roman"/>
                <w:sz w:val="20"/>
                <w:szCs w:val="20"/>
                <w:lang w:val="en-GB"/>
              </w:rPr>
            </w:pPr>
            <w:r w:rsidRPr="007E7525">
              <w:rPr>
                <w:rFonts w:ascii="Times New Roman" w:hAnsi="Times New Roman" w:cs="Times New Roman"/>
                <w:sz w:val="20"/>
                <w:szCs w:val="20"/>
                <w:lang w:val="en-GB"/>
              </w:rPr>
              <w:t>Mediators never exceed the manufacturing norm in their mediation proposals.</w:t>
            </w:r>
          </w:p>
        </w:tc>
      </w:tr>
      <w:tr w:rsidR="00B37A92" w:rsidRPr="006402A9" w14:paraId="49DAA93B" w14:textId="77777777" w:rsidTr="00B37A92">
        <w:tc>
          <w:tcPr>
            <w:tcW w:w="1812" w:type="dxa"/>
          </w:tcPr>
          <w:p w14:paraId="707FB88B" w14:textId="33538F47" w:rsidR="00B37A92" w:rsidRPr="001F2D45" w:rsidRDefault="007E7525" w:rsidP="007E7525">
            <w:pPr>
              <w:rPr>
                <w:rFonts w:ascii="Times New Roman" w:hAnsi="Times New Roman" w:cs="Times New Roman"/>
                <w:i/>
                <w:iCs/>
                <w:sz w:val="20"/>
                <w:szCs w:val="20"/>
                <w:lang w:val="en-GB"/>
              </w:rPr>
            </w:pPr>
            <w:r w:rsidRPr="001F2D45">
              <w:rPr>
                <w:rFonts w:ascii="Times New Roman" w:hAnsi="Times New Roman" w:cs="Times New Roman"/>
                <w:i/>
                <w:iCs/>
                <w:sz w:val="20"/>
                <w:szCs w:val="20"/>
                <w:lang w:val="en-GB"/>
              </w:rPr>
              <w:t>Scope of norm</w:t>
            </w:r>
          </w:p>
        </w:tc>
        <w:tc>
          <w:tcPr>
            <w:tcW w:w="1812" w:type="dxa"/>
          </w:tcPr>
          <w:p w14:paraId="6ED79638" w14:textId="64129C2F" w:rsidR="00B37A92" w:rsidRPr="007E7525" w:rsidRDefault="007E7525" w:rsidP="007E7525">
            <w:pPr>
              <w:rPr>
                <w:rFonts w:ascii="Times New Roman" w:hAnsi="Times New Roman" w:cs="Times New Roman"/>
                <w:sz w:val="20"/>
                <w:szCs w:val="20"/>
                <w:lang w:val="en-GB"/>
              </w:rPr>
            </w:pPr>
            <w:r w:rsidRPr="007E7525">
              <w:rPr>
                <w:rFonts w:ascii="Times New Roman" w:hAnsi="Times New Roman" w:cs="Times New Roman"/>
                <w:sz w:val="20"/>
                <w:szCs w:val="20"/>
                <w:lang w:val="en-GB"/>
              </w:rPr>
              <w:t>Total wage increases.</w:t>
            </w:r>
          </w:p>
        </w:tc>
        <w:tc>
          <w:tcPr>
            <w:tcW w:w="1812" w:type="dxa"/>
          </w:tcPr>
          <w:p w14:paraId="5FAAC792" w14:textId="38FE9C14" w:rsidR="00B37A92" w:rsidRPr="007E7525" w:rsidRDefault="007E7525" w:rsidP="007E7525">
            <w:pPr>
              <w:rPr>
                <w:rFonts w:ascii="Times New Roman" w:hAnsi="Times New Roman" w:cs="Times New Roman"/>
                <w:sz w:val="20"/>
                <w:szCs w:val="20"/>
                <w:lang w:val="en-GB"/>
              </w:rPr>
            </w:pPr>
            <w:r w:rsidRPr="007E7525">
              <w:rPr>
                <w:rFonts w:ascii="Times New Roman" w:hAnsi="Times New Roman" w:cs="Times New Roman"/>
                <w:sz w:val="20"/>
                <w:szCs w:val="20"/>
                <w:lang w:val="en-GB"/>
              </w:rPr>
              <w:t>Total wage increases.</w:t>
            </w:r>
          </w:p>
        </w:tc>
        <w:tc>
          <w:tcPr>
            <w:tcW w:w="1813" w:type="dxa"/>
          </w:tcPr>
          <w:p w14:paraId="35B7152A" w14:textId="653DE01D" w:rsidR="00B37A92" w:rsidRPr="007E7525" w:rsidRDefault="007E7525" w:rsidP="007E7525">
            <w:pPr>
              <w:rPr>
                <w:rFonts w:ascii="Times New Roman" w:hAnsi="Times New Roman" w:cs="Times New Roman"/>
                <w:sz w:val="20"/>
                <w:szCs w:val="20"/>
                <w:lang w:val="en-GB"/>
              </w:rPr>
            </w:pPr>
            <w:r w:rsidRPr="007E7525">
              <w:rPr>
                <w:rFonts w:ascii="Times New Roman" w:hAnsi="Times New Roman" w:cs="Times New Roman"/>
                <w:sz w:val="20"/>
                <w:szCs w:val="20"/>
                <w:lang w:val="en-GB"/>
              </w:rPr>
              <w:t>Total wage increases.</w:t>
            </w:r>
          </w:p>
        </w:tc>
        <w:tc>
          <w:tcPr>
            <w:tcW w:w="1813" w:type="dxa"/>
          </w:tcPr>
          <w:p w14:paraId="4BB3C007" w14:textId="69C968E9" w:rsidR="00B37A92" w:rsidRPr="007E7525" w:rsidRDefault="007E7525" w:rsidP="007E7525">
            <w:pPr>
              <w:rPr>
                <w:rFonts w:ascii="Times New Roman" w:hAnsi="Times New Roman" w:cs="Times New Roman"/>
                <w:sz w:val="20"/>
                <w:szCs w:val="20"/>
                <w:lang w:val="en-GB"/>
              </w:rPr>
            </w:pPr>
            <w:r w:rsidRPr="007E7525">
              <w:rPr>
                <w:rFonts w:ascii="Times New Roman" w:hAnsi="Times New Roman" w:cs="Times New Roman"/>
                <w:sz w:val="20"/>
                <w:szCs w:val="20"/>
                <w:lang w:val="en-GB"/>
              </w:rPr>
              <w:t>Wage increases in industry-level contracts, but not wage drift.</w:t>
            </w:r>
          </w:p>
        </w:tc>
      </w:tr>
      <w:tr w:rsidR="00B37A92" w:rsidRPr="006402A9" w14:paraId="575B6DAF" w14:textId="77777777" w:rsidTr="00B37A92">
        <w:tc>
          <w:tcPr>
            <w:tcW w:w="1812" w:type="dxa"/>
          </w:tcPr>
          <w:p w14:paraId="649B0A5B" w14:textId="2C5239A8" w:rsidR="00B37A92" w:rsidRPr="001F2D45" w:rsidRDefault="007E7525" w:rsidP="007E7525">
            <w:pPr>
              <w:rPr>
                <w:rFonts w:ascii="Times New Roman" w:hAnsi="Times New Roman" w:cs="Times New Roman"/>
                <w:i/>
                <w:iCs/>
                <w:sz w:val="20"/>
                <w:szCs w:val="20"/>
                <w:lang w:val="en-GB"/>
              </w:rPr>
            </w:pPr>
            <w:r w:rsidRPr="001F2D45">
              <w:rPr>
                <w:rFonts w:ascii="Times New Roman" w:hAnsi="Times New Roman" w:cs="Times New Roman"/>
                <w:i/>
                <w:iCs/>
                <w:sz w:val="20"/>
                <w:szCs w:val="20"/>
                <w:lang w:val="en-GB"/>
              </w:rPr>
              <w:t>Public sector</w:t>
            </w:r>
          </w:p>
        </w:tc>
        <w:tc>
          <w:tcPr>
            <w:tcW w:w="1812" w:type="dxa"/>
          </w:tcPr>
          <w:p w14:paraId="2AE941AA" w14:textId="48ECBE03" w:rsidR="00B37A92" w:rsidRPr="007E7525" w:rsidRDefault="007E7525" w:rsidP="007E7525">
            <w:pPr>
              <w:rPr>
                <w:rFonts w:ascii="Times New Roman" w:hAnsi="Times New Roman" w:cs="Times New Roman"/>
                <w:sz w:val="20"/>
                <w:szCs w:val="20"/>
                <w:lang w:val="en-GB"/>
              </w:rPr>
            </w:pPr>
            <w:r w:rsidRPr="007E7525">
              <w:rPr>
                <w:rFonts w:ascii="Times New Roman" w:hAnsi="Times New Roman" w:cs="Times New Roman"/>
                <w:sz w:val="20"/>
                <w:szCs w:val="20"/>
                <w:lang w:val="en-GB"/>
              </w:rPr>
              <w:t>Follows ex</w:t>
            </w:r>
            <w:r w:rsidR="004F44BD">
              <w:rPr>
                <w:rFonts w:ascii="Times New Roman" w:hAnsi="Times New Roman" w:cs="Times New Roman"/>
                <w:sz w:val="20"/>
                <w:szCs w:val="20"/>
                <w:lang w:val="en-GB"/>
              </w:rPr>
              <w:t>-</w:t>
            </w:r>
            <w:r w:rsidRPr="007E7525">
              <w:rPr>
                <w:rFonts w:ascii="Times New Roman" w:hAnsi="Times New Roman" w:cs="Times New Roman"/>
                <w:sz w:val="20"/>
                <w:szCs w:val="20"/>
                <w:lang w:val="en-GB"/>
              </w:rPr>
              <w:t>ante norm. Ex</w:t>
            </w:r>
            <w:r w:rsidR="004F44BD">
              <w:rPr>
                <w:rFonts w:ascii="Times New Roman" w:hAnsi="Times New Roman" w:cs="Times New Roman"/>
                <w:sz w:val="20"/>
                <w:szCs w:val="20"/>
                <w:lang w:val="en-GB"/>
              </w:rPr>
              <w:t>-</w:t>
            </w:r>
            <w:r w:rsidRPr="007E7525">
              <w:rPr>
                <w:rFonts w:ascii="Times New Roman" w:hAnsi="Times New Roman" w:cs="Times New Roman"/>
                <w:sz w:val="20"/>
                <w:szCs w:val="20"/>
                <w:lang w:val="en-GB"/>
              </w:rPr>
              <w:t xml:space="preserve">post adjustment if </w:t>
            </w:r>
            <w:r w:rsidR="00F2580E">
              <w:rPr>
                <w:rFonts w:ascii="Times New Roman" w:hAnsi="Times New Roman" w:cs="Times New Roman"/>
                <w:sz w:val="20"/>
                <w:szCs w:val="20"/>
                <w:lang w:val="en-GB"/>
              </w:rPr>
              <w:t>public</w:t>
            </w:r>
            <w:r w:rsidRPr="007E7525">
              <w:rPr>
                <w:rFonts w:ascii="Times New Roman" w:hAnsi="Times New Roman" w:cs="Times New Roman"/>
                <w:sz w:val="20"/>
                <w:szCs w:val="20"/>
                <w:lang w:val="en-GB"/>
              </w:rPr>
              <w:t>-sector wage increases differ from the norm.</w:t>
            </w:r>
          </w:p>
        </w:tc>
        <w:tc>
          <w:tcPr>
            <w:tcW w:w="1812" w:type="dxa"/>
          </w:tcPr>
          <w:p w14:paraId="5188F338" w14:textId="55B41B1C" w:rsidR="00B37A92" w:rsidRPr="007E7525" w:rsidRDefault="007E7525" w:rsidP="007E7525">
            <w:pPr>
              <w:rPr>
                <w:rFonts w:ascii="Times New Roman" w:hAnsi="Times New Roman" w:cs="Times New Roman"/>
                <w:sz w:val="20"/>
                <w:szCs w:val="20"/>
                <w:lang w:val="en-GB"/>
              </w:rPr>
            </w:pPr>
            <w:r w:rsidRPr="007E7525">
              <w:rPr>
                <w:rFonts w:ascii="Times New Roman" w:hAnsi="Times New Roman" w:cs="Times New Roman"/>
                <w:sz w:val="20"/>
                <w:szCs w:val="20"/>
                <w:lang w:val="en-GB"/>
              </w:rPr>
              <w:t>Opposition from public-sector unions to norm setting by manufacturing.</w:t>
            </w:r>
          </w:p>
        </w:tc>
        <w:tc>
          <w:tcPr>
            <w:tcW w:w="1813" w:type="dxa"/>
          </w:tcPr>
          <w:p w14:paraId="0DE78ABB" w14:textId="686E03B4" w:rsidR="00B37A92" w:rsidRPr="007E7525" w:rsidRDefault="007E7525" w:rsidP="007E7525">
            <w:pPr>
              <w:rPr>
                <w:rFonts w:ascii="Times New Roman" w:hAnsi="Times New Roman" w:cs="Times New Roman"/>
                <w:sz w:val="20"/>
                <w:szCs w:val="20"/>
                <w:lang w:val="en-GB"/>
              </w:rPr>
            </w:pPr>
            <w:r w:rsidRPr="007E7525">
              <w:rPr>
                <w:rFonts w:ascii="Times New Roman" w:hAnsi="Times New Roman" w:cs="Times New Roman"/>
                <w:sz w:val="20"/>
                <w:szCs w:val="20"/>
                <w:lang w:val="en-GB"/>
              </w:rPr>
              <w:t>Follows the norm.</w:t>
            </w:r>
          </w:p>
        </w:tc>
        <w:tc>
          <w:tcPr>
            <w:tcW w:w="1813" w:type="dxa"/>
          </w:tcPr>
          <w:p w14:paraId="06C1E42E" w14:textId="6A3FE33D" w:rsidR="00B37A92" w:rsidRPr="007E7525" w:rsidRDefault="007E7525" w:rsidP="007E7525">
            <w:pPr>
              <w:rPr>
                <w:rFonts w:ascii="Times New Roman" w:hAnsi="Times New Roman" w:cs="Times New Roman"/>
                <w:sz w:val="20"/>
                <w:szCs w:val="20"/>
                <w:lang w:val="en-GB"/>
              </w:rPr>
            </w:pPr>
            <w:r w:rsidRPr="007E7525">
              <w:rPr>
                <w:rFonts w:ascii="Times New Roman" w:hAnsi="Times New Roman" w:cs="Times New Roman"/>
                <w:sz w:val="20"/>
                <w:szCs w:val="20"/>
                <w:lang w:val="en-GB"/>
              </w:rPr>
              <w:t xml:space="preserve">Follows the norm. Principle inscribed into framework negotiation agreements. </w:t>
            </w:r>
          </w:p>
        </w:tc>
      </w:tr>
      <w:tr w:rsidR="001F2D45" w:rsidRPr="006402A9" w14:paraId="3F458B2A" w14:textId="77777777" w:rsidTr="00B37A92">
        <w:tc>
          <w:tcPr>
            <w:tcW w:w="1812" w:type="dxa"/>
          </w:tcPr>
          <w:p w14:paraId="1EE5599B" w14:textId="2113A919" w:rsidR="001F2D45" w:rsidRPr="001F2D45" w:rsidRDefault="001F2D45" w:rsidP="007E7525">
            <w:pPr>
              <w:rPr>
                <w:rFonts w:ascii="Times New Roman" w:hAnsi="Times New Roman" w:cs="Times New Roman"/>
                <w:i/>
                <w:iCs/>
                <w:sz w:val="20"/>
                <w:szCs w:val="20"/>
                <w:lang w:val="en-GB"/>
              </w:rPr>
            </w:pPr>
            <w:r w:rsidRPr="001F2D45">
              <w:rPr>
                <w:rFonts w:ascii="Times New Roman" w:hAnsi="Times New Roman" w:cs="Times New Roman"/>
                <w:i/>
                <w:iCs/>
                <w:sz w:val="20"/>
                <w:szCs w:val="20"/>
                <w:lang w:val="en-GB"/>
              </w:rPr>
              <w:t>Synchronisation of wage contracts in time</w:t>
            </w:r>
          </w:p>
        </w:tc>
        <w:tc>
          <w:tcPr>
            <w:tcW w:w="1812" w:type="dxa"/>
          </w:tcPr>
          <w:p w14:paraId="5FAB42DC" w14:textId="1BB66460" w:rsidR="001F2D45" w:rsidRPr="007E7525" w:rsidRDefault="001F2D45" w:rsidP="007E7525">
            <w:pPr>
              <w:rPr>
                <w:rFonts w:ascii="Times New Roman" w:hAnsi="Times New Roman" w:cs="Times New Roman"/>
                <w:sz w:val="20"/>
                <w:szCs w:val="20"/>
                <w:lang w:val="en-GB"/>
              </w:rPr>
            </w:pPr>
            <w:r>
              <w:rPr>
                <w:rFonts w:ascii="Times New Roman" w:hAnsi="Times New Roman" w:cs="Times New Roman"/>
                <w:sz w:val="20"/>
                <w:szCs w:val="20"/>
                <w:lang w:val="en-GB"/>
              </w:rPr>
              <w:t>Yes.</w:t>
            </w:r>
          </w:p>
        </w:tc>
        <w:tc>
          <w:tcPr>
            <w:tcW w:w="1812" w:type="dxa"/>
          </w:tcPr>
          <w:p w14:paraId="4830CA90" w14:textId="0B68813D" w:rsidR="001F2D45" w:rsidRPr="007E7525" w:rsidRDefault="001F2D45" w:rsidP="007E7525">
            <w:pPr>
              <w:rPr>
                <w:rFonts w:ascii="Times New Roman" w:hAnsi="Times New Roman" w:cs="Times New Roman"/>
                <w:sz w:val="20"/>
                <w:szCs w:val="20"/>
                <w:lang w:val="en-GB"/>
              </w:rPr>
            </w:pPr>
            <w:r>
              <w:rPr>
                <w:rFonts w:ascii="Times New Roman" w:hAnsi="Times New Roman" w:cs="Times New Roman"/>
                <w:sz w:val="20"/>
                <w:szCs w:val="20"/>
                <w:lang w:val="en-GB"/>
              </w:rPr>
              <w:t>Mostly.</w:t>
            </w:r>
          </w:p>
        </w:tc>
        <w:tc>
          <w:tcPr>
            <w:tcW w:w="1813" w:type="dxa"/>
          </w:tcPr>
          <w:p w14:paraId="12D7CB95" w14:textId="50BFA999" w:rsidR="001F2D45" w:rsidRPr="007E7525" w:rsidRDefault="001F2D45" w:rsidP="007E7525">
            <w:pPr>
              <w:rPr>
                <w:rFonts w:ascii="Times New Roman" w:hAnsi="Times New Roman" w:cs="Times New Roman"/>
                <w:sz w:val="20"/>
                <w:szCs w:val="20"/>
                <w:lang w:val="en-GB"/>
              </w:rPr>
            </w:pPr>
            <w:r>
              <w:rPr>
                <w:rFonts w:ascii="Times New Roman" w:hAnsi="Times New Roman" w:cs="Times New Roman"/>
                <w:sz w:val="20"/>
                <w:szCs w:val="20"/>
                <w:lang w:val="en-GB"/>
              </w:rPr>
              <w:t>Yes.</w:t>
            </w:r>
          </w:p>
        </w:tc>
        <w:tc>
          <w:tcPr>
            <w:tcW w:w="1813" w:type="dxa"/>
          </w:tcPr>
          <w:p w14:paraId="7BA9E1BA" w14:textId="02416185" w:rsidR="001F2D45" w:rsidRPr="007E7525" w:rsidRDefault="001F2D45" w:rsidP="007E7525">
            <w:pPr>
              <w:rPr>
                <w:rFonts w:ascii="Times New Roman" w:hAnsi="Times New Roman" w:cs="Times New Roman"/>
                <w:sz w:val="20"/>
                <w:szCs w:val="20"/>
                <w:lang w:val="en-GB"/>
              </w:rPr>
            </w:pPr>
            <w:r>
              <w:rPr>
                <w:rFonts w:ascii="Times New Roman" w:hAnsi="Times New Roman" w:cs="Times New Roman"/>
                <w:sz w:val="20"/>
                <w:szCs w:val="20"/>
                <w:lang w:val="en-GB"/>
              </w:rPr>
              <w:t>In the private sector, but contract period are sometimes different in the public sector.</w:t>
            </w:r>
          </w:p>
        </w:tc>
      </w:tr>
      <w:tr w:rsidR="00B37A92" w:rsidRPr="006402A9" w14:paraId="0E369C07" w14:textId="77777777" w:rsidTr="00B37A92">
        <w:tc>
          <w:tcPr>
            <w:tcW w:w="1812" w:type="dxa"/>
          </w:tcPr>
          <w:p w14:paraId="698BBC85" w14:textId="0B1A40D4" w:rsidR="00B37A92" w:rsidRPr="001F2D45" w:rsidRDefault="007E7525" w:rsidP="007E7525">
            <w:pPr>
              <w:rPr>
                <w:rFonts w:ascii="Times New Roman" w:hAnsi="Times New Roman" w:cs="Times New Roman"/>
                <w:i/>
                <w:iCs/>
                <w:sz w:val="20"/>
                <w:szCs w:val="20"/>
                <w:lang w:val="en-GB"/>
              </w:rPr>
            </w:pPr>
            <w:r w:rsidRPr="001F2D45">
              <w:rPr>
                <w:rFonts w:ascii="Times New Roman" w:hAnsi="Times New Roman" w:cs="Times New Roman"/>
                <w:i/>
                <w:iCs/>
                <w:sz w:val="20"/>
                <w:szCs w:val="20"/>
                <w:lang w:val="en-GB"/>
              </w:rPr>
              <w:t>Local bargaining</w:t>
            </w:r>
          </w:p>
        </w:tc>
        <w:tc>
          <w:tcPr>
            <w:tcW w:w="1812" w:type="dxa"/>
          </w:tcPr>
          <w:p w14:paraId="30CC3460" w14:textId="3B5E81C6" w:rsidR="00B37A92" w:rsidRPr="007E7525" w:rsidRDefault="007E7525" w:rsidP="007E7525">
            <w:pPr>
              <w:rPr>
                <w:rFonts w:ascii="Times New Roman" w:hAnsi="Times New Roman" w:cs="Times New Roman"/>
                <w:sz w:val="20"/>
                <w:szCs w:val="20"/>
                <w:lang w:val="en-GB"/>
              </w:rPr>
            </w:pPr>
            <w:r w:rsidRPr="007E7525">
              <w:rPr>
                <w:rFonts w:ascii="Times New Roman" w:hAnsi="Times New Roman" w:cs="Times New Roman"/>
                <w:sz w:val="20"/>
                <w:szCs w:val="20"/>
                <w:lang w:val="en-GB"/>
              </w:rPr>
              <w:t>Very important for actual wage increases especially in the private sector.</w:t>
            </w:r>
          </w:p>
        </w:tc>
        <w:tc>
          <w:tcPr>
            <w:tcW w:w="1812" w:type="dxa"/>
          </w:tcPr>
          <w:p w14:paraId="25021C98" w14:textId="792C0606" w:rsidR="00B37A92" w:rsidRPr="007E7525" w:rsidRDefault="007E7525" w:rsidP="007E7525">
            <w:pPr>
              <w:rPr>
                <w:rFonts w:ascii="Times New Roman" w:hAnsi="Times New Roman" w:cs="Times New Roman"/>
                <w:sz w:val="20"/>
                <w:szCs w:val="20"/>
                <w:lang w:val="en-GB"/>
              </w:rPr>
            </w:pPr>
            <w:r w:rsidRPr="007E7525">
              <w:rPr>
                <w:rFonts w:ascii="Times New Roman" w:hAnsi="Times New Roman" w:cs="Times New Roman"/>
                <w:sz w:val="20"/>
                <w:szCs w:val="20"/>
                <w:lang w:val="en-GB"/>
              </w:rPr>
              <w:t>Still less important than in the ot</w:t>
            </w:r>
            <w:r w:rsidR="008D174A">
              <w:rPr>
                <w:rFonts w:ascii="Times New Roman" w:hAnsi="Times New Roman" w:cs="Times New Roman"/>
                <w:sz w:val="20"/>
                <w:szCs w:val="20"/>
                <w:lang w:val="en-GB"/>
              </w:rPr>
              <w:t>her</w:t>
            </w:r>
            <w:r w:rsidRPr="007E7525">
              <w:rPr>
                <w:rFonts w:ascii="Times New Roman" w:hAnsi="Times New Roman" w:cs="Times New Roman"/>
                <w:sz w:val="20"/>
                <w:szCs w:val="20"/>
                <w:lang w:val="en-GB"/>
              </w:rPr>
              <w:t xml:space="preserve"> Nordic</w:t>
            </w:r>
            <w:r w:rsidR="00782718">
              <w:rPr>
                <w:rFonts w:ascii="Times New Roman" w:hAnsi="Times New Roman" w:cs="Times New Roman"/>
                <w:sz w:val="20"/>
                <w:szCs w:val="20"/>
                <w:lang w:val="en-GB"/>
              </w:rPr>
              <w:t xml:space="preserve"> countries</w:t>
            </w:r>
            <w:r w:rsidRPr="007E7525">
              <w:rPr>
                <w:rFonts w:ascii="Times New Roman" w:hAnsi="Times New Roman" w:cs="Times New Roman"/>
                <w:sz w:val="20"/>
                <w:szCs w:val="20"/>
                <w:lang w:val="en-GB"/>
              </w:rPr>
              <w:t xml:space="preserve"> </w:t>
            </w:r>
            <w:r w:rsidR="00782718">
              <w:rPr>
                <w:rFonts w:ascii="Times New Roman" w:hAnsi="Times New Roman" w:cs="Times New Roman"/>
                <w:sz w:val="20"/>
                <w:szCs w:val="20"/>
                <w:lang w:val="en-GB"/>
              </w:rPr>
              <w:t>but increasing importance</w:t>
            </w:r>
            <w:r w:rsidRPr="007E7525">
              <w:rPr>
                <w:rFonts w:ascii="Times New Roman" w:hAnsi="Times New Roman" w:cs="Times New Roman"/>
                <w:sz w:val="20"/>
                <w:szCs w:val="20"/>
                <w:lang w:val="en-GB"/>
              </w:rPr>
              <w:t xml:space="preserve">. </w:t>
            </w:r>
          </w:p>
        </w:tc>
        <w:tc>
          <w:tcPr>
            <w:tcW w:w="1813" w:type="dxa"/>
          </w:tcPr>
          <w:p w14:paraId="5D0FC544" w14:textId="6E7B4718" w:rsidR="00B37A92" w:rsidRPr="007E7525" w:rsidRDefault="007E7525" w:rsidP="007E7525">
            <w:pPr>
              <w:rPr>
                <w:rFonts w:ascii="Times New Roman" w:hAnsi="Times New Roman" w:cs="Times New Roman"/>
                <w:sz w:val="20"/>
                <w:szCs w:val="20"/>
                <w:lang w:val="en-GB"/>
              </w:rPr>
            </w:pPr>
            <w:r w:rsidRPr="007E7525">
              <w:rPr>
                <w:rFonts w:ascii="Times New Roman" w:hAnsi="Times New Roman" w:cs="Times New Roman"/>
                <w:sz w:val="20"/>
                <w:szCs w:val="20"/>
                <w:lang w:val="en-GB"/>
              </w:rPr>
              <w:t xml:space="preserve">Very important for actual </w:t>
            </w:r>
            <w:r w:rsidR="00EE2E62">
              <w:rPr>
                <w:rFonts w:ascii="Times New Roman" w:hAnsi="Times New Roman" w:cs="Times New Roman"/>
                <w:sz w:val="20"/>
                <w:szCs w:val="20"/>
                <w:lang w:val="en-GB"/>
              </w:rPr>
              <w:t xml:space="preserve">private-sector </w:t>
            </w:r>
            <w:r w:rsidRPr="007E7525">
              <w:rPr>
                <w:rFonts w:ascii="Times New Roman" w:hAnsi="Times New Roman" w:cs="Times New Roman"/>
                <w:sz w:val="20"/>
                <w:szCs w:val="20"/>
                <w:lang w:val="en-GB"/>
              </w:rPr>
              <w:t xml:space="preserve">wage increases. </w:t>
            </w:r>
          </w:p>
        </w:tc>
        <w:tc>
          <w:tcPr>
            <w:tcW w:w="1813" w:type="dxa"/>
          </w:tcPr>
          <w:p w14:paraId="410F9792" w14:textId="13A958FC" w:rsidR="00B37A92" w:rsidRPr="007E7525" w:rsidRDefault="007E7525" w:rsidP="007E7525">
            <w:pPr>
              <w:rPr>
                <w:rFonts w:ascii="Times New Roman" w:hAnsi="Times New Roman" w:cs="Times New Roman"/>
                <w:sz w:val="20"/>
                <w:szCs w:val="20"/>
                <w:lang w:val="en-GB"/>
              </w:rPr>
            </w:pPr>
            <w:r w:rsidRPr="007E7525">
              <w:rPr>
                <w:rFonts w:ascii="Times New Roman" w:hAnsi="Times New Roman" w:cs="Times New Roman"/>
                <w:sz w:val="20"/>
                <w:szCs w:val="20"/>
                <w:lang w:val="en-GB"/>
              </w:rPr>
              <w:t xml:space="preserve">Very important for white-collar workers in the public sector, but little wage drift for blue-collar workers in the private sector. </w:t>
            </w:r>
          </w:p>
        </w:tc>
      </w:tr>
    </w:tbl>
    <w:p w14:paraId="648380A5" w14:textId="405742A3" w:rsidR="00B37A92" w:rsidRPr="007E7525" w:rsidRDefault="00B37A92" w:rsidP="007E7525">
      <w:pPr>
        <w:spacing w:line="240" w:lineRule="auto"/>
        <w:rPr>
          <w:rFonts w:ascii="Times New Roman" w:hAnsi="Times New Roman" w:cs="Times New Roman"/>
          <w:sz w:val="20"/>
          <w:szCs w:val="20"/>
          <w:lang w:val="en-GB"/>
        </w:rPr>
      </w:pPr>
    </w:p>
    <w:p w14:paraId="17EEF26A" w14:textId="0C28DB5D" w:rsidR="003C3856" w:rsidRDefault="003C3856" w:rsidP="003C3856">
      <w:pPr>
        <w:pStyle w:val="Heading2"/>
        <w:rPr>
          <w:lang w:val="en-GB"/>
        </w:rPr>
      </w:pPr>
      <w:r>
        <w:rPr>
          <w:lang w:val="en-GB"/>
        </w:rPr>
        <w:t>2.1 Denmark</w:t>
      </w:r>
      <w:r w:rsidR="006618B2">
        <w:rPr>
          <w:rStyle w:val="FootnoteReference"/>
          <w:lang w:val="en-GB"/>
        </w:rPr>
        <w:footnoteReference w:id="2"/>
      </w:r>
    </w:p>
    <w:p w14:paraId="3817B8B4" w14:textId="61226BC7" w:rsidR="00AE63BE" w:rsidRDefault="006228DC" w:rsidP="00AE63BE">
      <w:pPr>
        <w:spacing w:line="360" w:lineRule="auto"/>
        <w:jc w:val="both"/>
        <w:rPr>
          <w:rFonts w:ascii="Times New Roman" w:hAnsi="Times New Roman" w:cs="Times New Roman"/>
          <w:sz w:val="24"/>
          <w:szCs w:val="24"/>
          <w:lang w:val="en-GB"/>
        </w:rPr>
      </w:pPr>
      <w:r w:rsidRPr="006228DC">
        <w:rPr>
          <w:rFonts w:ascii="Times New Roman" w:hAnsi="Times New Roman" w:cs="Times New Roman"/>
          <w:sz w:val="24"/>
          <w:szCs w:val="24"/>
          <w:lang w:val="en-GB"/>
        </w:rPr>
        <w:t xml:space="preserve">Denmark </w:t>
      </w:r>
      <w:r w:rsidR="004633B9">
        <w:rPr>
          <w:rFonts w:ascii="Times New Roman" w:hAnsi="Times New Roman" w:cs="Times New Roman"/>
          <w:sz w:val="24"/>
          <w:szCs w:val="24"/>
          <w:lang w:val="en-GB"/>
        </w:rPr>
        <w:t xml:space="preserve">was </w:t>
      </w:r>
      <w:r w:rsidR="00A86558">
        <w:rPr>
          <w:rFonts w:ascii="Times New Roman" w:hAnsi="Times New Roman" w:cs="Times New Roman"/>
          <w:sz w:val="24"/>
          <w:szCs w:val="24"/>
          <w:lang w:val="en-GB"/>
        </w:rPr>
        <w:t xml:space="preserve">the </w:t>
      </w:r>
      <w:r w:rsidR="00476D69">
        <w:rPr>
          <w:rFonts w:ascii="Times New Roman" w:hAnsi="Times New Roman" w:cs="Times New Roman"/>
          <w:sz w:val="24"/>
          <w:szCs w:val="24"/>
          <w:lang w:val="en-GB"/>
        </w:rPr>
        <w:t xml:space="preserve">frontrunner </w:t>
      </w:r>
      <w:r w:rsidR="00E029DE">
        <w:rPr>
          <w:rFonts w:ascii="Times New Roman" w:hAnsi="Times New Roman" w:cs="Times New Roman"/>
          <w:sz w:val="24"/>
          <w:szCs w:val="24"/>
          <w:lang w:val="en-GB"/>
        </w:rPr>
        <w:t xml:space="preserve">among the Nordic countries </w:t>
      </w:r>
      <w:r w:rsidR="005E4233">
        <w:rPr>
          <w:rFonts w:ascii="Times New Roman" w:hAnsi="Times New Roman" w:cs="Times New Roman"/>
          <w:sz w:val="24"/>
          <w:szCs w:val="24"/>
          <w:lang w:val="en-GB"/>
        </w:rPr>
        <w:t xml:space="preserve">in moving to </w:t>
      </w:r>
      <w:r w:rsidR="00A6122E">
        <w:rPr>
          <w:rFonts w:ascii="Times New Roman" w:hAnsi="Times New Roman" w:cs="Times New Roman"/>
          <w:sz w:val="24"/>
          <w:szCs w:val="24"/>
          <w:lang w:val="en-GB"/>
        </w:rPr>
        <w:t>industry level bargaining with</w:t>
      </w:r>
      <w:r w:rsidR="001434AB">
        <w:rPr>
          <w:rFonts w:ascii="Times New Roman" w:hAnsi="Times New Roman" w:cs="Times New Roman"/>
          <w:sz w:val="24"/>
          <w:szCs w:val="24"/>
          <w:lang w:val="en-GB"/>
        </w:rPr>
        <w:t xml:space="preserve"> pattern setting by manufacturing.</w:t>
      </w:r>
      <w:r w:rsidR="002C5A73">
        <w:rPr>
          <w:rFonts w:ascii="Times New Roman" w:hAnsi="Times New Roman" w:cs="Times New Roman"/>
          <w:sz w:val="24"/>
          <w:szCs w:val="24"/>
          <w:lang w:val="en-GB"/>
        </w:rPr>
        <w:t xml:space="preserve"> This happened after </w:t>
      </w:r>
      <w:r w:rsidR="00F40A38">
        <w:rPr>
          <w:rFonts w:ascii="Times New Roman" w:hAnsi="Times New Roman" w:cs="Times New Roman"/>
          <w:sz w:val="24"/>
          <w:szCs w:val="24"/>
          <w:lang w:val="en-GB"/>
        </w:rPr>
        <w:t xml:space="preserve">the earlier </w:t>
      </w:r>
      <w:r w:rsidR="00062EBB">
        <w:rPr>
          <w:rFonts w:ascii="Times New Roman" w:hAnsi="Times New Roman" w:cs="Times New Roman"/>
          <w:sz w:val="24"/>
          <w:szCs w:val="24"/>
          <w:lang w:val="en-GB"/>
        </w:rPr>
        <w:t xml:space="preserve">system of </w:t>
      </w:r>
      <w:r w:rsidR="00416CC4">
        <w:rPr>
          <w:rFonts w:ascii="Times New Roman" w:hAnsi="Times New Roman" w:cs="Times New Roman"/>
          <w:sz w:val="24"/>
          <w:szCs w:val="24"/>
          <w:lang w:val="en-GB"/>
        </w:rPr>
        <w:t xml:space="preserve">centralised </w:t>
      </w:r>
      <w:r w:rsidR="00062EBB">
        <w:rPr>
          <w:rFonts w:ascii="Times New Roman" w:hAnsi="Times New Roman" w:cs="Times New Roman"/>
          <w:sz w:val="24"/>
          <w:szCs w:val="24"/>
          <w:lang w:val="en-GB"/>
        </w:rPr>
        <w:t>wage bargaining</w:t>
      </w:r>
      <w:r w:rsidR="00FD7C20">
        <w:rPr>
          <w:rFonts w:ascii="Times New Roman" w:hAnsi="Times New Roman" w:cs="Times New Roman"/>
          <w:sz w:val="24"/>
          <w:szCs w:val="24"/>
          <w:lang w:val="en-GB"/>
        </w:rPr>
        <w:t xml:space="preserve"> between economy-wide peak </w:t>
      </w:r>
      <w:r w:rsidR="00062EBB">
        <w:rPr>
          <w:rFonts w:ascii="Times New Roman" w:hAnsi="Times New Roman" w:cs="Times New Roman"/>
          <w:sz w:val="24"/>
          <w:szCs w:val="24"/>
          <w:lang w:val="en-GB"/>
        </w:rPr>
        <w:t xml:space="preserve">organisations </w:t>
      </w:r>
      <w:r w:rsidR="0029492F">
        <w:rPr>
          <w:rFonts w:ascii="Times New Roman" w:hAnsi="Times New Roman" w:cs="Times New Roman"/>
          <w:sz w:val="24"/>
          <w:szCs w:val="24"/>
          <w:lang w:val="en-GB"/>
        </w:rPr>
        <w:t>broke down in the 1970s and 1980</w:t>
      </w:r>
      <w:r w:rsidR="00D615A1">
        <w:rPr>
          <w:rFonts w:ascii="Times New Roman" w:hAnsi="Times New Roman" w:cs="Times New Roman"/>
          <w:sz w:val="24"/>
          <w:szCs w:val="24"/>
          <w:lang w:val="en-GB"/>
        </w:rPr>
        <w:t xml:space="preserve">s </w:t>
      </w:r>
      <w:r w:rsidR="00291A41">
        <w:rPr>
          <w:rFonts w:ascii="Times New Roman" w:hAnsi="Times New Roman" w:cs="Times New Roman"/>
          <w:sz w:val="24"/>
          <w:szCs w:val="24"/>
          <w:lang w:val="en-GB"/>
        </w:rPr>
        <w:t xml:space="preserve">during a process when government policy was focused on reducing </w:t>
      </w:r>
      <w:r w:rsidR="00C15FE0">
        <w:rPr>
          <w:rFonts w:ascii="Times New Roman" w:hAnsi="Times New Roman" w:cs="Times New Roman"/>
          <w:sz w:val="24"/>
          <w:szCs w:val="24"/>
          <w:lang w:val="en-GB"/>
        </w:rPr>
        <w:t xml:space="preserve">(wage) inflation and restoring </w:t>
      </w:r>
      <w:r w:rsidR="002B3526">
        <w:rPr>
          <w:rFonts w:ascii="Times New Roman" w:hAnsi="Times New Roman" w:cs="Times New Roman"/>
          <w:sz w:val="24"/>
          <w:szCs w:val="24"/>
          <w:lang w:val="en-GB"/>
        </w:rPr>
        <w:t xml:space="preserve">international cost competitiveness. This </w:t>
      </w:r>
      <w:r w:rsidR="00304563">
        <w:rPr>
          <w:rFonts w:ascii="Times New Roman" w:hAnsi="Times New Roman" w:cs="Times New Roman"/>
          <w:sz w:val="24"/>
          <w:szCs w:val="24"/>
          <w:lang w:val="en-GB"/>
        </w:rPr>
        <w:t xml:space="preserve">resulted </w:t>
      </w:r>
      <w:r w:rsidR="00456C8D">
        <w:rPr>
          <w:rFonts w:ascii="Times New Roman" w:hAnsi="Times New Roman" w:cs="Times New Roman"/>
          <w:sz w:val="24"/>
          <w:szCs w:val="24"/>
          <w:lang w:val="en-GB"/>
        </w:rPr>
        <w:t xml:space="preserve">in several </w:t>
      </w:r>
      <w:r w:rsidR="0093483B">
        <w:rPr>
          <w:rFonts w:ascii="Times New Roman" w:hAnsi="Times New Roman" w:cs="Times New Roman"/>
          <w:sz w:val="24"/>
          <w:szCs w:val="24"/>
          <w:lang w:val="en-GB"/>
        </w:rPr>
        <w:t xml:space="preserve">tripartite incomes policy agreements </w:t>
      </w:r>
      <w:r w:rsidR="00F24A8B">
        <w:rPr>
          <w:rFonts w:ascii="Times New Roman" w:hAnsi="Times New Roman" w:cs="Times New Roman"/>
          <w:sz w:val="24"/>
          <w:szCs w:val="24"/>
          <w:lang w:val="en-GB"/>
        </w:rPr>
        <w:t xml:space="preserve">between the </w:t>
      </w:r>
      <w:r w:rsidR="00B31E2D">
        <w:rPr>
          <w:rFonts w:ascii="Times New Roman" w:hAnsi="Times New Roman" w:cs="Times New Roman"/>
          <w:sz w:val="24"/>
          <w:szCs w:val="24"/>
          <w:lang w:val="en-GB"/>
        </w:rPr>
        <w:t>peak organisations and the government in these years.</w:t>
      </w:r>
    </w:p>
    <w:p w14:paraId="1819A7F9" w14:textId="0303D175" w:rsidR="004820FE" w:rsidRDefault="006430B0" w:rsidP="00B31E2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last incomes policy </w:t>
      </w:r>
      <w:r w:rsidR="00AA3317">
        <w:rPr>
          <w:rFonts w:ascii="Times New Roman" w:hAnsi="Times New Roman" w:cs="Times New Roman"/>
          <w:sz w:val="24"/>
          <w:szCs w:val="24"/>
          <w:lang w:val="en-GB"/>
        </w:rPr>
        <w:t>settlement</w:t>
      </w:r>
      <w:r w:rsidR="00D767A9">
        <w:rPr>
          <w:rFonts w:ascii="Times New Roman" w:hAnsi="Times New Roman" w:cs="Times New Roman"/>
          <w:sz w:val="24"/>
          <w:szCs w:val="24"/>
          <w:lang w:val="en-GB"/>
        </w:rPr>
        <w:t xml:space="preserve">, </w:t>
      </w:r>
      <w:r w:rsidR="002825E1">
        <w:rPr>
          <w:rFonts w:ascii="Times New Roman" w:hAnsi="Times New Roman" w:cs="Times New Roman"/>
          <w:i/>
          <w:iCs/>
          <w:sz w:val="24"/>
          <w:szCs w:val="24"/>
          <w:lang w:val="en-GB"/>
        </w:rPr>
        <w:t>Felles</w:t>
      </w:r>
      <w:r w:rsidR="002825E1" w:rsidRPr="00435F55">
        <w:rPr>
          <w:rFonts w:ascii="Times New Roman" w:hAnsi="Times New Roman" w:cs="Times New Roman"/>
          <w:i/>
          <w:iCs/>
          <w:sz w:val="24"/>
          <w:szCs w:val="24"/>
          <w:lang w:val="en-GB"/>
        </w:rPr>
        <w:t>erklæring</w:t>
      </w:r>
      <w:r w:rsidR="002825E1">
        <w:rPr>
          <w:rFonts w:ascii="Times New Roman" w:hAnsi="Times New Roman" w:cs="Times New Roman"/>
          <w:i/>
          <w:iCs/>
          <w:sz w:val="24"/>
          <w:szCs w:val="24"/>
          <w:lang w:val="en-GB"/>
        </w:rPr>
        <w:t xml:space="preserve">en </w:t>
      </w:r>
      <w:r w:rsidR="002825E1" w:rsidRPr="004672A8">
        <w:rPr>
          <w:rFonts w:ascii="Times New Roman" w:hAnsi="Times New Roman" w:cs="Times New Roman"/>
          <w:sz w:val="24"/>
          <w:szCs w:val="24"/>
          <w:lang w:val="en-GB"/>
        </w:rPr>
        <w:t xml:space="preserve">(the </w:t>
      </w:r>
      <w:r w:rsidR="004672A8" w:rsidRPr="004672A8">
        <w:rPr>
          <w:rFonts w:ascii="Times New Roman" w:hAnsi="Times New Roman" w:cs="Times New Roman"/>
          <w:sz w:val="24"/>
          <w:szCs w:val="24"/>
          <w:lang w:val="en-GB"/>
        </w:rPr>
        <w:t>Common Declaration)</w:t>
      </w:r>
      <w:r w:rsidR="002825E1" w:rsidRPr="004672A8">
        <w:rPr>
          <w:lang w:val="en-GB"/>
        </w:rPr>
        <w:t xml:space="preserve"> </w:t>
      </w:r>
      <w:r w:rsidR="00D767A9">
        <w:rPr>
          <w:rFonts w:ascii="Times New Roman" w:hAnsi="Times New Roman" w:cs="Times New Roman"/>
          <w:sz w:val="24"/>
          <w:szCs w:val="24"/>
          <w:lang w:val="en-GB"/>
        </w:rPr>
        <w:t>in 1987</w:t>
      </w:r>
      <w:r w:rsidR="00AE63BE">
        <w:rPr>
          <w:rFonts w:ascii="Times New Roman" w:hAnsi="Times New Roman" w:cs="Times New Roman"/>
          <w:sz w:val="24"/>
          <w:szCs w:val="24"/>
          <w:lang w:val="en-GB"/>
        </w:rPr>
        <w:t xml:space="preserve">, </w:t>
      </w:r>
      <w:r w:rsidR="00A86558">
        <w:rPr>
          <w:rFonts w:ascii="Times New Roman" w:hAnsi="Times New Roman" w:cs="Times New Roman"/>
          <w:sz w:val="24"/>
          <w:szCs w:val="24"/>
          <w:lang w:val="en-GB"/>
        </w:rPr>
        <w:t xml:space="preserve">is </w:t>
      </w:r>
      <w:r w:rsidR="00AE63BE">
        <w:rPr>
          <w:rFonts w:ascii="Times New Roman" w:hAnsi="Times New Roman" w:cs="Times New Roman"/>
          <w:sz w:val="24"/>
          <w:szCs w:val="24"/>
          <w:lang w:val="en-GB"/>
        </w:rPr>
        <w:t xml:space="preserve">seen </w:t>
      </w:r>
      <w:r w:rsidR="009D0DCC">
        <w:rPr>
          <w:rFonts w:ascii="Times New Roman" w:hAnsi="Times New Roman" w:cs="Times New Roman"/>
          <w:sz w:val="24"/>
          <w:szCs w:val="24"/>
          <w:lang w:val="en-GB"/>
        </w:rPr>
        <w:t xml:space="preserve">as the starting point </w:t>
      </w:r>
      <w:r w:rsidR="00C67E75">
        <w:rPr>
          <w:rFonts w:ascii="Times New Roman" w:hAnsi="Times New Roman" w:cs="Times New Roman"/>
          <w:sz w:val="24"/>
          <w:szCs w:val="24"/>
          <w:lang w:val="en-GB"/>
        </w:rPr>
        <w:t>for the new form of coordination</w:t>
      </w:r>
      <w:r w:rsidR="00EF6FF2">
        <w:rPr>
          <w:rFonts w:ascii="Times New Roman" w:hAnsi="Times New Roman" w:cs="Times New Roman"/>
          <w:sz w:val="24"/>
          <w:szCs w:val="24"/>
          <w:lang w:val="en-GB"/>
        </w:rPr>
        <w:t xml:space="preserve"> since it </w:t>
      </w:r>
      <w:r w:rsidR="00857F22">
        <w:rPr>
          <w:rFonts w:ascii="Times New Roman" w:hAnsi="Times New Roman" w:cs="Times New Roman"/>
          <w:sz w:val="24"/>
          <w:szCs w:val="24"/>
          <w:lang w:val="en-GB"/>
        </w:rPr>
        <w:t xml:space="preserve">articulated the principle </w:t>
      </w:r>
      <w:r w:rsidR="005B3F04">
        <w:rPr>
          <w:rFonts w:ascii="Times New Roman" w:hAnsi="Times New Roman" w:cs="Times New Roman"/>
          <w:sz w:val="24"/>
          <w:szCs w:val="24"/>
          <w:lang w:val="en-GB"/>
        </w:rPr>
        <w:t xml:space="preserve">that the tradables sector </w:t>
      </w:r>
      <w:r w:rsidR="00C8259C">
        <w:rPr>
          <w:rFonts w:ascii="Times New Roman" w:hAnsi="Times New Roman" w:cs="Times New Roman"/>
          <w:sz w:val="24"/>
          <w:szCs w:val="24"/>
          <w:lang w:val="en-GB"/>
        </w:rPr>
        <w:t>should determine the norm f</w:t>
      </w:r>
      <w:r w:rsidR="00D501D8">
        <w:rPr>
          <w:rFonts w:ascii="Times New Roman" w:hAnsi="Times New Roman" w:cs="Times New Roman"/>
          <w:sz w:val="24"/>
          <w:szCs w:val="24"/>
          <w:lang w:val="en-GB"/>
        </w:rPr>
        <w:t xml:space="preserve">or wage increases </w:t>
      </w:r>
      <w:r w:rsidR="003369CB">
        <w:rPr>
          <w:rFonts w:ascii="Times New Roman" w:hAnsi="Times New Roman" w:cs="Times New Roman"/>
          <w:sz w:val="24"/>
          <w:szCs w:val="24"/>
          <w:lang w:val="en-GB"/>
        </w:rPr>
        <w:t>in the whole</w:t>
      </w:r>
      <w:r w:rsidR="00484DDC">
        <w:rPr>
          <w:rFonts w:ascii="Times New Roman" w:hAnsi="Times New Roman" w:cs="Times New Roman"/>
          <w:sz w:val="24"/>
          <w:szCs w:val="24"/>
          <w:lang w:val="en-GB"/>
        </w:rPr>
        <w:t xml:space="preserve"> economy, </w:t>
      </w:r>
      <w:r w:rsidR="00484DDC">
        <w:rPr>
          <w:rFonts w:ascii="Times New Roman" w:hAnsi="Times New Roman" w:cs="Times New Roman"/>
          <w:sz w:val="24"/>
          <w:szCs w:val="24"/>
          <w:lang w:val="en-GB"/>
        </w:rPr>
        <w:lastRenderedPageBreak/>
        <w:t>including the public sector</w:t>
      </w:r>
      <w:r w:rsidR="00844AAF">
        <w:rPr>
          <w:rFonts w:ascii="Times New Roman" w:hAnsi="Times New Roman" w:cs="Times New Roman"/>
          <w:sz w:val="24"/>
          <w:szCs w:val="24"/>
          <w:lang w:val="en-GB"/>
        </w:rPr>
        <w:t>, and that this norm should be based on</w:t>
      </w:r>
      <w:r w:rsidR="00994253">
        <w:rPr>
          <w:rFonts w:ascii="Times New Roman" w:hAnsi="Times New Roman" w:cs="Times New Roman"/>
          <w:sz w:val="24"/>
          <w:szCs w:val="24"/>
          <w:lang w:val="en-GB"/>
        </w:rPr>
        <w:t xml:space="preserve"> international-competitiveness</w:t>
      </w:r>
      <w:r w:rsidR="00844AAF">
        <w:rPr>
          <w:rFonts w:ascii="Times New Roman" w:hAnsi="Times New Roman" w:cs="Times New Roman"/>
          <w:sz w:val="24"/>
          <w:szCs w:val="24"/>
          <w:lang w:val="en-GB"/>
        </w:rPr>
        <w:t xml:space="preserve"> </w:t>
      </w:r>
      <w:r w:rsidR="009F049F">
        <w:rPr>
          <w:rFonts w:ascii="Times New Roman" w:hAnsi="Times New Roman" w:cs="Times New Roman"/>
          <w:sz w:val="24"/>
          <w:szCs w:val="24"/>
          <w:lang w:val="en-GB"/>
        </w:rPr>
        <w:t>considerations</w:t>
      </w:r>
      <w:r w:rsidR="006D5D23">
        <w:rPr>
          <w:rFonts w:ascii="Times New Roman" w:hAnsi="Times New Roman" w:cs="Times New Roman"/>
          <w:sz w:val="24"/>
          <w:szCs w:val="24"/>
          <w:lang w:val="en-GB"/>
        </w:rPr>
        <w:t xml:space="preserve">. </w:t>
      </w:r>
      <w:r w:rsidR="003E4B54">
        <w:rPr>
          <w:rFonts w:ascii="Times New Roman" w:hAnsi="Times New Roman" w:cs="Times New Roman"/>
          <w:sz w:val="24"/>
          <w:szCs w:val="24"/>
          <w:lang w:val="en-GB"/>
        </w:rPr>
        <w:t xml:space="preserve">Coordination according to these principles </w:t>
      </w:r>
      <w:r w:rsidR="00EE431A">
        <w:rPr>
          <w:rFonts w:ascii="Times New Roman" w:hAnsi="Times New Roman" w:cs="Times New Roman"/>
          <w:sz w:val="24"/>
          <w:szCs w:val="24"/>
          <w:lang w:val="en-GB"/>
        </w:rPr>
        <w:t>devel</w:t>
      </w:r>
      <w:r w:rsidR="00B44D73">
        <w:rPr>
          <w:rFonts w:ascii="Times New Roman" w:hAnsi="Times New Roman" w:cs="Times New Roman"/>
          <w:sz w:val="24"/>
          <w:szCs w:val="24"/>
          <w:lang w:val="en-GB"/>
        </w:rPr>
        <w:t>o</w:t>
      </w:r>
      <w:r w:rsidR="00EE431A">
        <w:rPr>
          <w:rFonts w:ascii="Times New Roman" w:hAnsi="Times New Roman" w:cs="Times New Roman"/>
          <w:sz w:val="24"/>
          <w:szCs w:val="24"/>
          <w:lang w:val="en-GB"/>
        </w:rPr>
        <w:t>ped</w:t>
      </w:r>
      <w:r w:rsidR="00A63A69">
        <w:rPr>
          <w:rFonts w:ascii="Times New Roman" w:hAnsi="Times New Roman" w:cs="Times New Roman"/>
          <w:sz w:val="24"/>
          <w:szCs w:val="24"/>
          <w:lang w:val="en-GB"/>
        </w:rPr>
        <w:t xml:space="preserve"> gradually in the 1990s</w:t>
      </w:r>
      <w:r w:rsidR="00B44D73">
        <w:rPr>
          <w:rFonts w:ascii="Times New Roman" w:hAnsi="Times New Roman" w:cs="Times New Roman"/>
          <w:sz w:val="24"/>
          <w:szCs w:val="24"/>
          <w:lang w:val="en-GB"/>
        </w:rPr>
        <w:t>,</w:t>
      </w:r>
      <w:r w:rsidR="00A63A69">
        <w:rPr>
          <w:rFonts w:ascii="Times New Roman" w:hAnsi="Times New Roman" w:cs="Times New Roman"/>
          <w:sz w:val="24"/>
          <w:szCs w:val="24"/>
          <w:lang w:val="en-GB"/>
        </w:rPr>
        <w:t xml:space="preserve"> </w:t>
      </w:r>
      <w:r w:rsidR="00EE431A">
        <w:rPr>
          <w:rFonts w:ascii="Times New Roman" w:hAnsi="Times New Roman" w:cs="Times New Roman"/>
          <w:sz w:val="24"/>
          <w:szCs w:val="24"/>
          <w:lang w:val="en-GB"/>
        </w:rPr>
        <w:t>a</w:t>
      </w:r>
      <w:r w:rsidR="00B44D73">
        <w:rPr>
          <w:rFonts w:ascii="Times New Roman" w:hAnsi="Times New Roman" w:cs="Times New Roman"/>
          <w:sz w:val="24"/>
          <w:szCs w:val="24"/>
          <w:lang w:val="en-GB"/>
        </w:rPr>
        <w:t>nd</w:t>
      </w:r>
      <w:r w:rsidR="00E742E6">
        <w:rPr>
          <w:rFonts w:ascii="Times New Roman" w:hAnsi="Times New Roman" w:cs="Times New Roman"/>
          <w:sz w:val="24"/>
          <w:szCs w:val="24"/>
          <w:lang w:val="en-GB"/>
        </w:rPr>
        <w:t xml:space="preserve"> from </w:t>
      </w:r>
      <w:r w:rsidR="002A141C">
        <w:rPr>
          <w:rFonts w:ascii="Times New Roman" w:hAnsi="Times New Roman" w:cs="Times New Roman"/>
          <w:sz w:val="24"/>
          <w:szCs w:val="24"/>
          <w:lang w:val="en-GB"/>
        </w:rPr>
        <w:t xml:space="preserve">2000 it has been codified </w:t>
      </w:r>
      <w:r w:rsidR="00AE03DD">
        <w:rPr>
          <w:rFonts w:ascii="Times New Roman" w:hAnsi="Times New Roman" w:cs="Times New Roman"/>
          <w:sz w:val="24"/>
          <w:szCs w:val="24"/>
          <w:lang w:val="en-GB"/>
        </w:rPr>
        <w:t>in recurring framework agreements</w:t>
      </w:r>
      <w:r w:rsidR="00E349CE">
        <w:rPr>
          <w:rFonts w:ascii="Times New Roman" w:hAnsi="Times New Roman" w:cs="Times New Roman"/>
          <w:sz w:val="24"/>
          <w:szCs w:val="24"/>
          <w:lang w:val="en-GB"/>
        </w:rPr>
        <w:t xml:space="preserve"> between the </w:t>
      </w:r>
      <w:r w:rsidR="004820FE">
        <w:rPr>
          <w:rFonts w:ascii="Times New Roman" w:hAnsi="Times New Roman" w:cs="Times New Roman"/>
          <w:sz w:val="24"/>
          <w:szCs w:val="24"/>
          <w:lang w:val="en-GB"/>
        </w:rPr>
        <w:t>peak organisations</w:t>
      </w:r>
      <w:r w:rsidR="00836F23">
        <w:rPr>
          <w:rFonts w:ascii="Times New Roman" w:hAnsi="Times New Roman" w:cs="Times New Roman"/>
          <w:sz w:val="24"/>
          <w:szCs w:val="24"/>
          <w:lang w:val="en-GB"/>
        </w:rPr>
        <w:t xml:space="preserve"> </w:t>
      </w:r>
      <w:r w:rsidR="00DF1714">
        <w:rPr>
          <w:rFonts w:ascii="Times New Roman" w:hAnsi="Times New Roman" w:cs="Times New Roman"/>
          <w:sz w:val="24"/>
          <w:szCs w:val="24"/>
          <w:lang w:val="en-GB"/>
        </w:rPr>
        <w:t>before the wage rounds</w:t>
      </w:r>
      <w:r w:rsidR="00CF5D47">
        <w:rPr>
          <w:rFonts w:ascii="Times New Roman" w:hAnsi="Times New Roman" w:cs="Times New Roman"/>
          <w:sz w:val="24"/>
          <w:szCs w:val="24"/>
          <w:lang w:val="en-GB"/>
        </w:rPr>
        <w:t>.</w:t>
      </w:r>
    </w:p>
    <w:p w14:paraId="18CF4405" w14:textId="519E25C4" w:rsidR="00233E01" w:rsidRDefault="00974C7A" w:rsidP="00B31E2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first wage agreement is always concluded between the </w:t>
      </w:r>
      <w:r w:rsidR="00892DCF">
        <w:rPr>
          <w:rFonts w:ascii="Times New Roman" w:hAnsi="Times New Roman" w:cs="Times New Roman"/>
          <w:sz w:val="24"/>
          <w:szCs w:val="24"/>
          <w:lang w:val="en-GB"/>
        </w:rPr>
        <w:t xml:space="preserve">Confederation of </w:t>
      </w:r>
      <w:r w:rsidR="00F43110">
        <w:rPr>
          <w:rFonts w:ascii="Times New Roman" w:hAnsi="Times New Roman" w:cs="Times New Roman"/>
          <w:sz w:val="24"/>
          <w:szCs w:val="24"/>
          <w:lang w:val="en-GB"/>
        </w:rPr>
        <w:t>Danish Industry</w:t>
      </w:r>
      <w:r w:rsidR="00C40883">
        <w:rPr>
          <w:rFonts w:ascii="Times New Roman" w:hAnsi="Times New Roman" w:cs="Times New Roman"/>
          <w:sz w:val="24"/>
          <w:szCs w:val="24"/>
          <w:lang w:val="en-GB"/>
        </w:rPr>
        <w:t xml:space="preserve"> (</w:t>
      </w:r>
      <w:r w:rsidR="00C40883" w:rsidRPr="00D132A5">
        <w:rPr>
          <w:rFonts w:ascii="Times New Roman" w:hAnsi="Times New Roman" w:cs="Times New Roman"/>
          <w:i/>
          <w:iCs/>
          <w:sz w:val="24"/>
          <w:szCs w:val="24"/>
          <w:lang w:val="en-GB"/>
        </w:rPr>
        <w:t>DI</w:t>
      </w:r>
      <w:r w:rsidR="00C40883">
        <w:rPr>
          <w:rFonts w:ascii="Times New Roman" w:hAnsi="Times New Roman" w:cs="Times New Roman"/>
          <w:sz w:val="24"/>
          <w:szCs w:val="24"/>
          <w:lang w:val="en-GB"/>
        </w:rPr>
        <w:t>)</w:t>
      </w:r>
      <w:r w:rsidR="00F43110">
        <w:rPr>
          <w:rFonts w:ascii="Times New Roman" w:hAnsi="Times New Roman" w:cs="Times New Roman"/>
          <w:sz w:val="24"/>
          <w:szCs w:val="24"/>
          <w:lang w:val="en-GB"/>
        </w:rPr>
        <w:t xml:space="preserve">, by far the largest </w:t>
      </w:r>
      <w:r w:rsidR="001E227B">
        <w:rPr>
          <w:rFonts w:ascii="Times New Roman" w:hAnsi="Times New Roman" w:cs="Times New Roman"/>
          <w:sz w:val="24"/>
          <w:szCs w:val="24"/>
          <w:lang w:val="en-GB"/>
        </w:rPr>
        <w:t xml:space="preserve">employers’ association in </w:t>
      </w:r>
      <w:r w:rsidR="00D132A5">
        <w:rPr>
          <w:rFonts w:ascii="Times New Roman" w:hAnsi="Times New Roman" w:cs="Times New Roman"/>
          <w:sz w:val="24"/>
          <w:szCs w:val="24"/>
          <w:lang w:val="en-GB"/>
        </w:rPr>
        <w:t xml:space="preserve">the </w:t>
      </w:r>
      <w:r w:rsidR="006C5F24">
        <w:rPr>
          <w:rFonts w:ascii="Times New Roman" w:hAnsi="Times New Roman" w:cs="Times New Roman"/>
          <w:sz w:val="24"/>
          <w:szCs w:val="24"/>
          <w:lang w:val="en-GB"/>
        </w:rPr>
        <w:t>Confederation of Danish Employers</w:t>
      </w:r>
      <w:r w:rsidR="008C6CC1">
        <w:rPr>
          <w:rFonts w:ascii="Times New Roman" w:hAnsi="Times New Roman" w:cs="Times New Roman"/>
          <w:sz w:val="24"/>
          <w:szCs w:val="24"/>
          <w:lang w:val="en-GB"/>
        </w:rPr>
        <w:t xml:space="preserve"> (</w:t>
      </w:r>
      <w:r w:rsidR="008C6CC1">
        <w:rPr>
          <w:rFonts w:ascii="Times New Roman" w:hAnsi="Times New Roman" w:cs="Times New Roman"/>
          <w:i/>
          <w:iCs/>
          <w:sz w:val="24"/>
          <w:szCs w:val="24"/>
          <w:lang w:val="en-GB"/>
        </w:rPr>
        <w:t>DA</w:t>
      </w:r>
      <w:r w:rsidR="008C6CC1">
        <w:rPr>
          <w:rFonts w:ascii="Times New Roman" w:hAnsi="Times New Roman" w:cs="Times New Roman"/>
          <w:sz w:val="24"/>
          <w:szCs w:val="24"/>
          <w:lang w:val="en-GB"/>
        </w:rPr>
        <w:t>)</w:t>
      </w:r>
      <w:r w:rsidR="00455687">
        <w:rPr>
          <w:rFonts w:ascii="Times New Roman" w:hAnsi="Times New Roman" w:cs="Times New Roman"/>
          <w:sz w:val="24"/>
          <w:szCs w:val="24"/>
          <w:lang w:val="en-GB"/>
        </w:rPr>
        <w:t xml:space="preserve">, and a cartel of </w:t>
      </w:r>
      <w:r w:rsidR="00DF59E1">
        <w:rPr>
          <w:rFonts w:ascii="Times New Roman" w:hAnsi="Times New Roman" w:cs="Times New Roman"/>
          <w:sz w:val="24"/>
          <w:szCs w:val="24"/>
          <w:lang w:val="en-GB"/>
        </w:rPr>
        <w:t xml:space="preserve">manufacturing </w:t>
      </w:r>
      <w:r w:rsidR="008C6CC1">
        <w:rPr>
          <w:rFonts w:ascii="Times New Roman" w:hAnsi="Times New Roman" w:cs="Times New Roman"/>
          <w:sz w:val="24"/>
          <w:szCs w:val="24"/>
          <w:lang w:val="en-GB"/>
        </w:rPr>
        <w:t>trade unions</w:t>
      </w:r>
      <w:r w:rsidR="002A3E35">
        <w:rPr>
          <w:rFonts w:ascii="Times New Roman" w:hAnsi="Times New Roman" w:cs="Times New Roman"/>
          <w:sz w:val="24"/>
          <w:szCs w:val="24"/>
          <w:lang w:val="en-GB"/>
        </w:rPr>
        <w:t xml:space="preserve"> (</w:t>
      </w:r>
      <w:r w:rsidR="002A3E35">
        <w:rPr>
          <w:rFonts w:ascii="Times New Roman" w:hAnsi="Times New Roman" w:cs="Times New Roman"/>
          <w:i/>
          <w:iCs/>
          <w:sz w:val="24"/>
          <w:szCs w:val="24"/>
          <w:lang w:val="en-GB"/>
        </w:rPr>
        <w:t>CO-industri</w:t>
      </w:r>
      <w:r w:rsidR="002A3E35">
        <w:rPr>
          <w:rFonts w:ascii="Times New Roman" w:hAnsi="Times New Roman" w:cs="Times New Roman"/>
          <w:sz w:val="24"/>
          <w:szCs w:val="24"/>
          <w:lang w:val="en-GB"/>
        </w:rPr>
        <w:t>)</w:t>
      </w:r>
      <w:r w:rsidR="008C6CC1">
        <w:rPr>
          <w:rFonts w:ascii="Times New Roman" w:hAnsi="Times New Roman" w:cs="Times New Roman"/>
          <w:sz w:val="24"/>
          <w:szCs w:val="24"/>
          <w:lang w:val="en-GB"/>
        </w:rPr>
        <w:t xml:space="preserve"> in</w:t>
      </w:r>
      <w:r w:rsidR="008D45C0">
        <w:rPr>
          <w:rFonts w:ascii="Times New Roman" w:hAnsi="Times New Roman" w:cs="Times New Roman"/>
          <w:sz w:val="24"/>
          <w:szCs w:val="24"/>
          <w:lang w:val="en-GB"/>
        </w:rPr>
        <w:t xml:space="preserve"> </w:t>
      </w:r>
      <w:r w:rsidR="00B23FA1">
        <w:rPr>
          <w:rFonts w:ascii="Times New Roman" w:hAnsi="Times New Roman" w:cs="Times New Roman"/>
          <w:sz w:val="24"/>
          <w:szCs w:val="24"/>
          <w:lang w:val="en-GB"/>
        </w:rPr>
        <w:t xml:space="preserve">the </w:t>
      </w:r>
      <w:r w:rsidR="00E922D0">
        <w:rPr>
          <w:rFonts w:ascii="Times New Roman" w:hAnsi="Times New Roman" w:cs="Times New Roman"/>
          <w:sz w:val="24"/>
          <w:szCs w:val="24"/>
          <w:lang w:val="en-GB"/>
        </w:rPr>
        <w:t>Danish Trade Union Confederation (</w:t>
      </w:r>
      <w:r w:rsidR="00E922D0">
        <w:rPr>
          <w:rFonts w:ascii="Times New Roman" w:hAnsi="Times New Roman" w:cs="Times New Roman"/>
          <w:i/>
          <w:iCs/>
          <w:sz w:val="24"/>
          <w:szCs w:val="24"/>
          <w:lang w:val="en-GB"/>
        </w:rPr>
        <w:t>FH</w:t>
      </w:r>
      <w:r w:rsidR="00E922D0">
        <w:rPr>
          <w:rFonts w:ascii="Times New Roman" w:hAnsi="Times New Roman" w:cs="Times New Roman"/>
          <w:sz w:val="24"/>
          <w:szCs w:val="24"/>
          <w:lang w:val="en-GB"/>
        </w:rPr>
        <w:t>)</w:t>
      </w:r>
      <w:r w:rsidR="00AF197C">
        <w:rPr>
          <w:rFonts w:ascii="Times New Roman" w:hAnsi="Times New Roman" w:cs="Times New Roman"/>
          <w:sz w:val="24"/>
          <w:szCs w:val="24"/>
          <w:lang w:val="en-GB"/>
        </w:rPr>
        <w:t xml:space="preserve">. </w:t>
      </w:r>
      <w:r w:rsidR="00AB602F">
        <w:rPr>
          <w:rFonts w:ascii="Times New Roman" w:hAnsi="Times New Roman" w:cs="Times New Roman"/>
          <w:sz w:val="24"/>
          <w:szCs w:val="24"/>
          <w:lang w:val="en-GB"/>
        </w:rPr>
        <w:t>T</w:t>
      </w:r>
      <w:r w:rsidR="002F6110">
        <w:rPr>
          <w:rFonts w:ascii="Times New Roman" w:hAnsi="Times New Roman" w:cs="Times New Roman"/>
          <w:sz w:val="24"/>
          <w:szCs w:val="24"/>
          <w:lang w:val="en-GB"/>
        </w:rPr>
        <w:t xml:space="preserve">his </w:t>
      </w:r>
      <w:r w:rsidR="002B010F">
        <w:rPr>
          <w:rFonts w:ascii="Times New Roman" w:hAnsi="Times New Roman" w:cs="Times New Roman"/>
          <w:sz w:val="24"/>
          <w:szCs w:val="24"/>
          <w:lang w:val="en-GB"/>
        </w:rPr>
        <w:t>agreement determines changes in minimum wages</w:t>
      </w:r>
      <w:r w:rsidR="00820B98">
        <w:rPr>
          <w:rFonts w:ascii="Times New Roman" w:hAnsi="Times New Roman" w:cs="Times New Roman"/>
          <w:sz w:val="24"/>
          <w:szCs w:val="24"/>
          <w:lang w:val="en-GB"/>
        </w:rPr>
        <w:t xml:space="preserve"> and ot</w:t>
      </w:r>
      <w:r w:rsidR="008D174A">
        <w:rPr>
          <w:rFonts w:ascii="Times New Roman" w:hAnsi="Times New Roman" w:cs="Times New Roman"/>
          <w:sz w:val="24"/>
          <w:szCs w:val="24"/>
          <w:lang w:val="en-GB"/>
        </w:rPr>
        <w:t>her</w:t>
      </w:r>
      <w:r w:rsidR="00820B98">
        <w:rPr>
          <w:rFonts w:ascii="Times New Roman" w:hAnsi="Times New Roman" w:cs="Times New Roman"/>
          <w:sz w:val="24"/>
          <w:szCs w:val="24"/>
          <w:lang w:val="en-GB"/>
        </w:rPr>
        <w:t xml:space="preserve"> </w:t>
      </w:r>
      <w:r w:rsidR="00E403F2">
        <w:rPr>
          <w:rFonts w:ascii="Times New Roman" w:hAnsi="Times New Roman" w:cs="Times New Roman"/>
          <w:sz w:val="24"/>
          <w:szCs w:val="24"/>
          <w:lang w:val="en-GB"/>
        </w:rPr>
        <w:t>working conditions</w:t>
      </w:r>
      <w:r w:rsidR="0058727E">
        <w:rPr>
          <w:rFonts w:ascii="Times New Roman" w:hAnsi="Times New Roman" w:cs="Times New Roman"/>
          <w:sz w:val="24"/>
          <w:szCs w:val="24"/>
          <w:lang w:val="en-GB"/>
        </w:rPr>
        <w:t xml:space="preserve"> </w:t>
      </w:r>
      <w:r w:rsidR="00E403F2">
        <w:rPr>
          <w:rFonts w:ascii="Times New Roman" w:hAnsi="Times New Roman" w:cs="Times New Roman"/>
          <w:sz w:val="24"/>
          <w:szCs w:val="24"/>
          <w:lang w:val="en-GB"/>
        </w:rPr>
        <w:t xml:space="preserve">and establishes </w:t>
      </w:r>
      <w:r w:rsidR="00800673">
        <w:rPr>
          <w:rFonts w:ascii="Times New Roman" w:hAnsi="Times New Roman" w:cs="Times New Roman"/>
          <w:sz w:val="24"/>
          <w:szCs w:val="24"/>
          <w:lang w:val="en-GB"/>
        </w:rPr>
        <w:t>the norm for</w:t>
      </w:r>
      <w:r w:rsidR="00937B9D">
        <w:rPr>
          <w:rFonts w:ascii="Times New Roman" w:hAnsi="Times New Roman" w:cs="Times New Roman"/>
          <w:sz w:val="24"/>
          <w:szCs w:val="24"/>
          <w:lang w:val="en-GB"/>
        </w:rPr>
        <w:t xml:space="preserve"> ot</w:t>
      </w:r>
      <w:r w:rsidR="008D174A">
        <w:rPr>
          <w:rFonts w:ascii="Times New Roman" w:hAnsi="Times New Roman" w:cs="Times New Roman"/>
          <w:sz w:val="24"/>
          <w:szCs w:val="24"/>
          <w:lang w:val="en-GB"/>
        </w:rPr>
        <w:t>her</w:t>
      </w:r>
      <w:r w:rsidR="00937B9D">
        <w:rPr>
          <w:rFonts w:ascii="Times New Roman" w:hAnsi="Times New Roman" w:cs="Times New Roman"/>
          <w:sz w:val="24"/>
          <w:szCs w:val="24"/>
          <w:lang w:val="en-GB"/>
        </w:rPr>
        <w:t xml:space="preserve"> private-sector </w:t>
      </w:r>
      <w:r w:rsidR="00291D0E">
        <w:rPr>
          <w:rFonts w:ascii="Times New Roman" w:hAnsi="Times New Roman" w:cs="Times New Roman"/>
          <w:sz w:val="24"/>
          <w:szCs w:val="24"/>
          <w:lang w:val="en-GB"/>
        </w:rPr>
        <w:t xml:space="preserve">agreements </w:t>
      </w:r>
      <w:r w:rsidR="00196B82">
        <w:rPr>
          <w:rFonts w:ascii="Times New Roman" w:hAnsi="Times New Roman" w:cs="Times New Roman"/>
          <w:sz w:val="24"/>
          <w:szCs w:val="24"/>
          <w:lang w:val="en-GB"/>
        </w:rPr>
        <w:t xml:space="preserve">provided that </w:t>
      </w:r>
      <w:r w:rsidR="002A71C6">
        <w:rPr>
          <w:rFonts w:ascii="Times New Roman" w:hAnsi="Times New Roman" w:cs="Times New Roman"/>
          <w:sz w:val="24"/>
          <w:szCs w:val="24"/>
          <w:lang w:val="en-GB"/>
        </w:rPr>
        <w:t xml:space="preserve">it is approved by the </w:t>
      </w:r>
      <w:r w:rsidR="002A71C6">
        <w:rPr>
          <w:rFonts w:ascii="Times New Roman" w:hAnsi="Times New Roman" w:cs="Times New Roman"/>
          <w:i/>
          <w:iCs/>
          <w:sz w:val="24"/>
          <w:szCs w:val="24"/>
          <w:lang w:val="en-GB"/>
        </w:rPr>
        <w:t xml:space="preserve">DA </w:t>
      </w:r>
      <w:r w:rsidR="002A71C6">
        <w:rPr>
          <w:rFonts w:ascii="Times New Roman" w:hAnsi="Times New Roman" w:cs="Times New Roman"/>
          <w:sz w:val="24"/>
          <w:szCs w:val="24"/>
          <w:lang w:val="en-GB"/>
        </w:rPr>
        <w:t>executive committee</w:t>
      </w:r>
      <w:r w:rsidR="00956D78">
        <w:rPr>
          <w:rFonts w:ascii="Times New Roman" w:hAnsi="Times New Roman" w:cs="Times New Roman"/>
          <w:sz w:val="24"/>
          <w:szCs w:val="24"/>
          <w:lang w:val="en-GB"/>
        </w:rPr>
        <w:t xml:space="preserve"> (which it typically </w:t>
      </w:r>
      <w:r w:rsidR="00A00A63">
        <w:rPr>
          <w:rFonts w:ascii="Times New Roman" w:hAnsi="Times New Roman" w:cs="Times New Roman"/>
          <w:sz w:val="24"/>
          <w:szCs w:val="24"/>
          <w:lang w:val="en-GB"/>
        </w:rPr>
        <w:t>is</w:t>
      </w:r>
      <w:r w:rsidR="00956D78">
        <w:rPr>
          <w:rFonts w:ascii="Times New Roman" w:hAnsi="Times New Roman" w:cs="Times New Roman"/>
          <w:sz w:val="24"/>
          <w:szCs w:val="24"/>
          <w:lang w:val="en-GB"/>
        </w:rPr>
        <w:t xml:space="preserve"> as </w:t>
      </w:r>
      <w:r w:rsidR="00F201CE">
        <w:rPr>
          <w:rFonts w:ascii="Times New Roman" w:hAnsi="Times New Roman" w:cs="Times New Roman"/>
          <w:i/>
          <w:iCs/>
          <w:sz w:val="24"/>
          <w:szCs w:val="24"/>
          <w:lang w:val="en-GB"/>
        </w:rPr>
        <w:t xml:space="preserve">DI </w:t>
      </w:r>
      <w:r w:rsidR="00F201CE">
        <w:rPr>
          <w:rFonts w:ascii="Times New Roman" w:hAnsi="Times New Roman" w:cs="Times New Roman"/>
          <w:sz w:val="24"/>
          <w:szCs w:val="24"/>
          <w:lang w:val="en-GB"/>
        </w:rPr>
        <w:t>holds half the votes t</w:t>
      </w:r>
      <w:r w:rsidR="008D174A">
        <w:rPr>
          <w:rFonts w:ascii="Times New Roman" w:hAnsi="Times New Roman" w:cs="Times New Roman"/>
          <w:sz w:val="24"/>
          <w:szCs w:val="24"/>
          <w:lang w:val="en-GB"/>
        </w:rPr>
        <w:t>her</w:t>
      </w:r>
      <w:r w:rsidR="00F201CE">
        <w:rPr>
          <w:rFonts w:ascii="Times New Roman" w:hAnsi="Times New Roman" w:cs="Times New Roman"/>
          <w:sz w:val="24"/>
          <w:szCs w:val="24"/>
          <w:lang w:val="en-GB"/>
        </w:rPr>
        <w:t>e)</w:t>
      </w:r>
      <w:r w:rsidR="00F50E8B">
        <w:rPr>
          <w:rFonts w:ascii="Times New Roman" w:hAnsi="Times New Roman" w:cs="Times New Roman"/>
          <w:sz w:val="24"/>
          <w:szCs w:val="24"/>
          <w:lang w:val="en-GB"/>
        </w:rPr>
        <w:t xml:space="preserve">. </w:t>
      </w:r>
      <w:r w:rsidR="00F201CE">
        <w:rPr>
          <w:rFonts w:ascii="Times New Roman" w:hAnsi="Times New Roman" w:cs="Times New Roman"/>
          <w:sz w:val="24"/>
          <w:szCs w:val="24"/>
          <w:lang w:val="en-GB"/>
        </w:rPr>
        <w:t>The c</w:t>
      </w:r>
      <w:r w:rsidR="009F7BA1">
        <w:rPr>
          <w:rFonts w:ascii="Times New Roman" w:hAnsi="Times New Roman" w:cs="Times New Roman"/>
          <w:sz w:val="24"/>
          <w:szCs w:val="24"/>
          <w:lang w:val="en-GB"/>
        </w:rPr>
        <w:t xml:space="preserve">ommittee </w:t>
      </w:r>
      <w:r w:rsidR="00FC78DC">
        <w:rPr>
          <w:rFonts w:ascii="Times New Roman" w:hAnsi="Times New Roman" w:cs="Times New Roman"/>
          <w:sz w:val="24"/>
          <w:szCs w:val="24"/>
          <w:lang w:val="en-GB"/>
        </w:rPr>
        <w:t>does</w:t>
      </w:r>
      <w:r w:rsidR="009F7BA1">
        <w:rPr>
          <w:rFonts w:ascii="Times New Roman" w:hAnsi="Times New Roman" w:cs="Times New Roman"/>
          <w:sz w:val="24"/>
          <w:szCs w:val="24"/>
          <w:lang w:val="en-GB"/>
        </w:rPr>
        <w:t xml:space="preserve"> not allow subsequent settlements to exceed the </w:t>
      </w:r>
      <w:r w:rsidR="00D64E08">
        <w:rPr>
          <w:rFonts w:ascii="Times New Roman" w:hAnsi="Times New Roman" w:cs="Times New Roman"/>
          <w:sz w:val="24"/>
          <w:szCs w:val="24"/>
          <w:lang w:val="en-GB"/>
        </w:rPr>
        <w:t xml:space="preserve">norm. </w:t>
      </w:r>
    </w:p>
    <w:p w14:paraId="254B764F" w14:textId="36C99E8A" w:rsidR="00433D16" w:rsidRDefault="00233E01" w:rsidP="00B31E2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usual outcome is </w:t>
      </w:r>
      <w:r w:rsidR="00F520DD">
        <w:rPr>
          <w:rFonts w:ascii="Times New Roman" w:hAnsi="Times New Roman" w:cs="Times New Roman"/>
          <w:sz w:val="24"/>
          <w:szCs w:val="24"/>
          <w:lang w:val="en-GB"/>
        </w:rPr>
        <w:t xml:space="preserve">that </w:t>
      </w:r>
      <w:r w:rsidR="007A7113">
        <w:rPr>
          <w:rFonts w:ascii="Times New Roman" w:hAnsi="Times New Roman" w:cs="Times New Roman"/>
          <w:sz w:val="24"/>
          <w:szCs w:val="24"/>
          <w:lang w:val="en-GB"/>
        </w:rPr>
        <w:t xml:space="preserve">settlements </w:t>
      </w:r>
      <w:r w:rsidR="008910B5">
        <w:rPr>
          <w:rFonts w:ascii="Times New Roman" w:hAnsi="Times New Roman" w:cs="Times New Roman"/>
          <w:sz w:val="24"/>
          <w:szCs w:val="24"/>
          <w:lang w:val="en-GB"/>
        </w:rPr>
        <w:t>are not</w:t>
      </w:r>
      <w:r w:rsidR="007A7113">
        <w:rPr>
          <w:rFonts w:ascii="Times New Roman" w:hAnsi="Times New Roman" w:cs="Times New Roman"/>
          <w:sz w:val="24"/>
          <w:szCs w:val="24"/>
          <w:lang w:val="en-GB"/>
        </w:rPr>
        <w:t xml:space="preserve"> reached in some </w:t>
      </w:r>
      <w:r w:rsidR="00F201CE">
        <w:rPr>
          <w:rFonts w:ascii="Times New Roman" w:hAnsi="Times New Roman" w:cs="Times New Roman"/>
          <w:sz w:val="24"/>
          <w:szCs w:val="24"/>
          <w:lang w:val="en-GB"/>
        </w:rPr>
        <w:t xml:space="preserve">private-sector </w:t>
      </w:r>
      <w:r w:rsidR="00542DB8">
        <w:rPr>
          <w:rFonts w:ascii="Times New Roman" w:hAnsi="Times New Roman" w:cs="Times New Roman"/>
          <w:sz w:val="24"/>
          <w:szCs w:val="24"/>
          <w:lang w:val="en-GB"/>
        </w:rPr>
        <w:t>areas</w:t>
      </w:r>
      <w:r w:rsidR="00BF29F8">
        <w:rPr>
          <w:rFonts w:ascii="Times New Roman" w:hAnsi="Times New Roman" w:cs="Times New Roman"/>
          <w:sz w:val="24"/>
          <w:szCs w:val="24"/>
          <w:lang w:val="en-GB"/>
        </w:rPr>
        <w:t>. Then mediation is compulsory</w:t>
      </w:r>
      <w:r w:rsidR="007C530E">
        <w:rPr>
          <w:rFonts w:ascii="Times New Roman" w:hAnsi="Times New Roman" w:cs="Times New Roman"/>
          <w:sz w:val="24"/>
          <w:szCs w:val="24"/>
          <w:lang w:val="en-GB"/>
        </w:rPr>
        <w:t xml:space="preserve">. </w:t>
      </w:r>
      <w:r w:rsidR="00F201CE">
        <w:rPr>
          <w:rFonts w:ascii="Times New Roman" w:hAnsi="Times New Roman" w:cs="Times New Roman"/>
          <w:sz w:val="24"/>
          <w:szCs w:val="24"/>
          <w:lang w:val="en-GB"/>
        </w:rPr>
        <w:t>M</w:t>
      </w:r>
      <w:r w:rsidR="00AA3241">
        <w:rPr>
          <w:rFonts w:ascii="Times New Roman" w:hAnsi="Times New Roman" w:cs="Times New Roman"/>
          <w:sz w:val="24"/>
          <w:szCs w:val="24"/>
          <w:lang w:val="en-GB"/>
        </w:rPr>
        <w:t>ediators</w:t>
      </w:r>
      <w:r w:rsidR="00505CBB">
        <w:rPr>
          <w:rFonts w:ascii="Times New Roman" w:hAnsi="Times New Roman" w:cs="Times New Roman"/>
          <w:sz w:val="24"/>
          <w:szCs w:val="24"/>
          <w:lang w:val="en-GB"/>
        </w:rPr>
        <w:t>’ proposals typically conform to the</w:t>
      </w:r>
      <w:r w:rsidR="00BD4E29">
        <w:rPr>
          <w:rFonts w:ascii="Times New Roman" w:hAnsi="Times New Roman" w:cs="Times New Roman"/>
          <w:sz w:val="24"/>
          <w:szCs w:val="24"/>
          <w:lang w:val="en-GB"/>
        </w:rPr>
        <w:t xml:space="preserve"> norm </w:t>
      </w:r>
      <w:r w:rsidR="00F62EDF">
        <w:rPr>
          <w:rFonts w:ascii="Times New Roman" w:hAnsi="Times New Roman" w:cs="Times New Roman"/>
          <w:sz w:val="24"/>
          <w:szCs w:val="24"/>
          <w:lang w:val="en-GB"/>
        </w:rPr>
        <w:t>established in the manufacturing agreement. If mediation fails</w:t>
      </w:r>
      <w:r w:rsidR="001D1303">
        <w:rPr>
          <w:rFonts w:ascii="Times New Roman" w:hAnsi="Times New Roman" w:cs="Times New Roman"/>
          <w:sz w:val="24"/>
          <w:szCs w:val="24"/>
          <w:lang w:val="en-GB"/>
        </w:rPr>
        <w:t xml:space="preserve">, the mediation </w:t>
      </w:r>
      <w:r w:rsidR="00B53C11">
        <w:rPr>
          <w:rFonts w:ascii="Times New Roman" w:hAnsi="Times New Roman" w:cs="Times New Roman"/>
          <w:sz w:val="24"/>
          <w:szCs w:val="24"/>
          <w:lang w:val="en-GB"/>
        </w:rPr>
        <w:t>institution (</w:t>
      </w:r>
      <w:r w:rsidR="00B53C11">
        <w:rPr>
          <w:rFonts w:ascii="Times New Roman" w:hAnsi="Times New Roman" w:cs="Times New Roman"/>
          <w:i/>
          <w:iCs/>
          <w:sz w:val="24"/>
          <w:szCs w:val="24"/>
          <w:lang w:val="en-GB"/>
        </w:rPr>
        <w:t>Forligsinstitutionen</w:t>
      </w:r>
      <w:r w:rsidR="00B53C11">
        <w:rPr>
          <w:rFonts w:ascii="Times New Roman" w:hAnsi="Times New Roman" w:cs="Times New Roman"/>
          <w:sz w:val="24"/>
          <w:szCs w:val="24"/>
          <w:lang w:val="en-GB"/>
        </w:rPr>
        <w:t xml:space="preserve">) </w:t>
      </w:r>
      <w:r w:rsidR="00C31C9A">
        <w:rPr>
          <w:rFonts w:ascii="Times New Roman" w:hAnsi="Times New Roman" w:cs="Times New Roman"/>
          <w:sz w:val="24"/>
          <w:szCs w:val="24"/>
          <w:lang w:val="en-GB"/>
        </w:rPr>
        <w:t xml:space="preserve">formulates </w:t>
      </w:r>
      <w:r w:rsidR="00FD0AC3">
        <w:rPr>
          <w:rFonts w:ascii="Times New Roman" w:hAnsi="Times New Roman" w:cs="Times New Roman"/>
          <w:sz w:val="24"/>
          <w:szCs w:val="24"/>
          <w:lang w:val="en-GB"/>
        </w:rPr>
        <w:t xml:space="preserve">a </w:t>
      </w:r>
      <w:r w:rsidR="00DA5787">
        <w:rPr>
          <w:rFonts w:ascii="Times New Roman" w:hAnsi="Times New Roman" w:cs="Times New Roman"/>
          <w:sz w:val="24"/>
          <w:szCs w:val="24"/>
          <w:lang w:val="en-GB"/>
        </w:rPr>
        <w:t xml:space="preserve">final </w:t>
      </w:r>
      <w:r w:rsidR="000D4DA7">
        <w:rPr>
          <w:rFonts w:ascii="Times New Roman" w:hAnsi="Times New Roman" w:cs="Times New Roman"/>
          <w:sz w:val="24"/>
          <w:szCs w:val="24"/>
          <w:lang w:val="en-GB"/>
        </w:rPr>
        <w:t xml:space="preserve">proposal in cooperation with </w:t>
      </w:r>
      <w:r w:rsidR="000D4DA7">
        <w:rPr>
          <w:rFonts w:ascii="Times New Roman" w:hAnsi="Times New Roman" w:cs="Times New Roman"/>
          <w:i/>
          <w:iCs/>
          <w:sz w:val="24"/>
          <w:szCs w:val="24"/>
          <w:lang w:val="en-GB"/>
        </w:rPr>
        <w:t xml:space="preserve">DA </w:t>
      </w:r>
      <w:r w:rsidR="000D4DA7">
        <w:rPr>
          <w:rFonts w:ascii="Times New Roman" w:hAnsi="Times New Roman" w:cs="Times New Roman"/>
          <w:sz w:val="24"/>
          <w:szCs w:val="24"/>
          <w:lang w:val="en-GB"/>
        </w:rPr>
        <w:t xml:space="preserve">and </w:t>
      </w:r>
      <w:r w:rsidR="000D4DA7">
        <w:rPr>
          <w:rFonts w:ascii="Times New Roman" w:hAnsi="Times New Roman" w:cs="Times New Roman"/>
          <w:i/>
          <w:iCs/>
          <w:sz w:val="24"/>
          <w:szCs w:val="24"/>
          <w:lang w:val="en-GB"/>
        </w:rPr>
        <w:t>F</w:t>
      </w:r>
      <w:r w:rsidR="005A69DA">
        <w:rPr>
          <w:rFonts w:ascii="Times New Roman" w:hAnsi="Times New Roman" w:cs="Times New Roman"/>
          <w:i/>
          <w:iCs/>
          <w:sz w:val="24"/>
          <w:szCs w:val="24"/>
          <w:lang w:val="en-GB"/>
        </w:rPr>
        <w:t>H</w:t>
      </w:r>
      <w:r w:rsidR="006F7FC0">
        <w:rPr>
          <w:rFonts w:ascii="Times New Roman" w:hAnsi="Times New Roman" w:cs="Times New Roman"/>
          <w:sz w:val="24"/>
          <w:szCs w:val="24"/>
          <w:lang w:val="en-GB"/>
        </w:rPr>
        <w:t xml:space="preserve"> in line with the norm. The </w:t>
      </w:r>
      <w:r w:rsidR="006F355B">
        <w:rPr>
          <w:rFonts w:ascii="Times New Roman" w:hAnsi="Times New Roman" w:cs="Times New Roman"/>
          <w:sz w:val="24"/>
          <w:szCs w:val="24"/>
          <w:lang w:val="en-GB"/>
        </w:rPr>
        <w:t xml:space="preserve">mediation </w:t>
      </w:r>
      <w:r w:rsidR="006F7FC0">
        <w:rPr>
          <w:rFonts w:ascii="Times New Roman" w:hAnsi="Times New Roman" w:cs="Times New Roman"/>
          <w:sz w:val="24"/>
          <w:szCs w:val="24"/>
          <w:lang w:val="en-GB"/>
        </w:rPr>
        <w:t xml:space="preserve">institution then </w:t>
      </w:r>
      <w:r w:rsidR="00182EE3">
        <w:rPr>
          <w:rFonts w:ascii="Times New Roman" w:hAnsi="Times New Roman" w:cs="Times New Roman"/>
          <w:sz w:val="24"/>
          <w:szCs w:val="24"/>
          <w:lang w:val="en-GB"/>
        </w:rPr>
        <w:t>links</w:t>
      </w:r>
      <w:r w:rsidR="00BB1790">
        <w:rPr>
          <w:rFonts w:ascii="Times New Roman" w:hAnsi="Times New Roman" w:cs="Times New Roman"/>
          <w:sz w:val="24"/>
          <w:szCs w:val="24"/>
          <w:lang w:val="en-GB"/>
        </w:rPr>
        <w:t xml:space="preserve"> all bargaining areas</w:t>
      </w:r>
      <w:r w:rsidR="00856E21">
        <w:rPr>
          <w:rFonts w:ascii="Times New Roman" w:hAnsi="Times New Roman" w:cs="Times New Roman"/>
          <w:sz w:val="24"/>
          <w:szCs w:val="24"/>
          <w:lang w:val="en-GB"/>
        </w:rPr>
        <w:t xml:space="preserve"> – both those which have reached agreements and those which have not </w:t>
      </w:r>
      <w:r w:rsidR="00DC367E">
        <w:rPr>
          <w:rFonts w:ascii="Times New Roman" w:hAnsi="Times New Roman" w:cs="Times New Roman"/>
          <w:sz w:val="24"/>
          <w:szCs w:val="24"/>
          <w:lang w:val="en-GB"/>
        </w:rPr>
        <w:t>–</w:t>
      </w:r>
      <w:r w:rsidR="00856E21">
        <w:rPr>
          <w:rFonts w:ascii="Times New Roman" w:hAnsi="Times New Roman" w:cs="Times New Roman"/>
          <w:sz w:val="24"/>
          <w:szCs w:val="24"/>
          <w:lang w:val="en-GB"/>
        </w:rPr>
        <w:t xml:space="preserve"> </w:t>
      </w:r>
      <w:r w:rsidR="008A2908">
        <w:rPr>
          <w:rFonts w:ascii="Times New Roman" w:hAnsi="Times New Roman" w:cs="Times New Roman"/>
          <w:sz w:val="24"/>
          <w:szCs w:val="24"/>
          <w:lang w:val="en-GB"/>
        </w:rPr>
        <w:t xml:space="preserve">into one common </w:t>
      </w:r>
      <w:r w:rsidR="00DC367E">
        <w:rPr>
          <w:rFonts w:ascii="Times New Roman" w:hAnsi="Times New Roman" w:cs="Times New Roman"/>
          <w:sz w:val="24"/>
          <w:szCs w:val="24"/>
          <w:lang w:val="en-GB"/>
        </w:rPr>
        <w:t xml:space="preserve">decision </w:t>
      </w:r>
      <w:r w:rsidR="00F8788D">
        <w:rPr>
          <w:rFonts w:ascii="Times New Roman" w:hAnsi="Times New Roman" w:cs="Times New Roman"/>
          <w:sz w:val="24"/>
          <w:szCs w:val="24"/>
          <w:lang w:val="en-GB"/>
        </w:rPr>
        <w:t>process</w:t>
      </w:r>
      <w:r w:rsidR="00FF58EF">
        <w:rPr>
          <w:rFonts w:ascii="Times New Roman" w:hAnsi="Times New Roman" w:cs="Times New Roman"/>
          <w:sz w:val="24"/>
          <w:szCs w:val="24"/>
          <w:lang w:val="en-GB"/>
        </w:rPr>
        <w:t xml:space="preserve">. </w:t>
      </w:r>
      <w:r w:rsidR="00D351BF">
        <w:rPr>
          <w:rFonts w:ascii="Times New Roman" w:hAnsi="Times New Roman" w:cs="Times New Roman"/>
          <w:sz w:val="24"/>
          <w:szCs w:val="24"/>
          <w:lang w:val="en-GB"/>
        </w:rPr>
        <w:t xml:space="preserve">Rejection on the union side </w:t>
      </w:r>
      <w:r w:rsidR="00C8580E">
        <w:rPr>
          <w:rFonts w:ascii="Times New Roman" w:hAnsi="Times New Roman" w:cs="Times New Roman"/>
          <w:sz w:val="24"/>
          <w:szCs w:val="24"/>
          <w:lang w:val="en-GB"/>
        </w:rPr>
        <w:t xml:space="preserve">requires a </w:t>
      </w:r>
      <w:r w:rsidR="005635E5">
        <w:rPr>
          <w:rFonts w:ascii="Times New Roman" w:hAnsi="Times New Roman" w:cs="Times New Roman"/>
          <w:sz w:val="24"/>
          <w:szCs w:val="24"/>
          <w:lang w:val="en-GB"/>
        </w:rPr>
        <w:t xml:space="preserve">voting </w:t>
      </w:r>
      <w:r w:rsidR="00C8580E">
        <w:rPr>
          <w:rFonts w:ascii="Times New Roman" w:hAnsi="Times New Roman" w:cs="Times New Roman"/>
          <w:sz w:val="24"/>
          <w:szCs w:val="24"/>
          <w:lang w:val="en-GB"/>
        </w:rPr>
        <w:t xml:space="preserve">majority </w:t>
      </w:r>
      <w:r w:rsidR="00692FB4">
        <w:rPr>
          <w:rFonts w:ascii="Times New Roman" w:hAnsi="Times New Roman" w:cs="Times New Roman"/>
          <w:sz w:val="24"/>
          <w:szCs w:val="24"/>
          <w:lang w:val="en-GB"/>
        </w:rPr>
        <w:t xml:space="preserve">in a national ballot </w:t>
      </w:r>
      <w:r w:rsidR="00C8580E">
        <w:rPr>
          <w:rFonts w:ascii="Times New Roman" w:hAnsi="Times New Roman" w:cs="Times New Roman"/>
          <w:sz w:val="24"/>
          <w:szCs w:val="24"/>
          <w:lang w:val="en-GB"/>
        </w:rPr>
        <w:t xml:space="preserve">among </w:t>
      </w:r>
      <w:r w:rsidR="00550661">
        <w:rPr>
          <w:rFonts w:ascii="Times New Roman" w:hAnsi="Times New Roman" w:cs="Times New Roman"/>
          <w:i/>
          <w:iCs/>
          <w:sz w:val="24"/>
          <w:szCs w:val="24"/>
          <w:lang w:val="en-GB"/>
        </w:rPr>
        <w:t xml:space="preserve">all </w:t>
      </w:r>
      <w:r w:rsidR="00550661">
        <w:rPr>
          <w:rFonts w:ascii="Times New Roman" w:hAnsi="Times New Roman" w:cs="Times New Roman"/>
          <w:sz w:val="24"/>
          <w:szCs w:val="24"/>
          <w:lang w:val="en-GB"/>
        </w:rPr>
        <w:t>the</w:t>
      </w:r>
      <w:r w:rsidR="00692FB4">
        <w:rPr>
          <w:rFonts w:ascii="Times New Roman" w:hAnsi="Times New Roman" w:cs="Times New Roman"/>
          <w:sz w:val="24"/>
          <w:szCs w:val="24"/>
          <w:lang w:val="en-GB"/>
        </w:rPr>
        <w:t xml:space="preserve"> concerned</w:t>
      </w:r>
      <w:r w:rsidR="00550661">
        <w:rPr>
          <w:rFonts w:ascii="Times New Roman" w:hAnsi="Times New Roman" w:cs="Times New Roman"/>
          <w:sz w:val="24"/>
          <w:szCs w:val="24"/>
          <w:lang w:val="en-GB"/>
        </w:rPr>
        <w:t xml:space="preserve"> unions</w:t>
      </w:r>
      <w:r w:rsidR="009F68E4">
        <w:rPr>
          <w:rFonts w:ascii="Times New Roman" w:hAnsi="Times New Roman" w:cs="Times New Roman"/>
          <w:sz w:val="24"/>
          <w:szCs w:val="24"/>
          <w:lang w:val="en-GB"/>
        </w:rPr>
        <w:t>’ members</w:t>
      </w:r>
      <w:r w:rsidR="00FB19B2">
        <w:rPr>
          <w:rFonts w:ascii="Times New Roman" w:hAnsi="Times New Roman" w:cs="Times New Roman"/>
          <w:sz w:val="24"/>
          <w:szCs w:val="24"/>
          <w:lang w:val="en-GB"/>
        </w:rPr>
        <w:t>. Ot</w:t>
      </w:r>
      <w:r w:rsidR="008D174A">
        <w:rPr>
          <w:rFonts w:ascii="Times New Roman" w:hAnsi="Times New Roman" w:cs="Times New Roman"/>
          <w:sz w:val="24"/>
          <w:szCs w:val="24"/>
          <w:lang w:val="en-GB"/>
        </w:rPr>
        <w:t>her</w:t>
      </w:r>
      <w:r w:rsidR="00FB19B2">
        <w:rPr>
          <w:rFonts w:ascii="Times New Roman" w:hAnsi="Times New Roman" w:cs="Times New Roman"/>
          <w:sz w:val="24"/>
          <w:szCs w:val="24"/>
          <w:lang w:val="en-GB"/>
        </w:rPr>
        <w:t>wise the mediation proposal becomes bind</w:t>
      </w:r>
      <w:r w:rsidR="00980566">
        <w:rPr>
          <w:rFonts w:ascii="Times New Roman" w:hAnsi="Times New Roman" w:cs="Times New Roman"/>
          <w:sz w:val="24"/>
          <w:szCs w:val="24"/>
          <w:lang w:val="en-GB"/>
        </w:rPr>
        <w:t>ing in all bargaining areas – provided</w:t>
      </w:r>
      <w:r w:rsidR="008B46CB">
        <w:rPr>
          <w:rFonts w:ascii="Times New Roman" w:hAnsi="Times New Roman" w:cs="Times New Roman"/>
          <w:sz w:val="24"/>
          <w:szCs w:val="24"/>
          <w:lang w:val="en-GB"/>
        </w:rPr>
        <w:t xml:space="preserve"> that it is approved also by a majority in the </w:t>
      </w:r>
      <w:r w:rsidR="008B46CB">
        <w:rPr>
          <w:rFonts w:ascii="Times New Roman" w:hAnsi="Times New Roman" w:cs="Times New Roman"/>
          <w:i/>
          <w:iCs/>
          <w:sz w:val="24"/>
          <w:szCs w:val="24"/>
          <w:lang w:val="en-GB"/>
        </w:rPr>
        <w:t>DA</w:t>
      </w:r>
      <w:r w:rsidR="00CA25C1">
        <w:rPr>
          <w:rFonts w:ascii="Times New Roman" w:hAnsi="Times New Roman" w:cs="Times New Roman"/>
          <w:i/>
          <w:iCs/>
          <w:sz w:val="24"/>
          <w:szCs w:val="24"/>
          <w:lang w:val="en-GB"/>
        </w:rPr>
        <w:t xml:space="preserve"> </w:t>
      </w:r>
      <w:r w:rsidR="00D0283E">
        <w:rPr>
          <w:rFonts w:ascii="Times New Roman" w:hAnsi="Times New Roman" w:cs="Times New Roman"/>
          <w:sz w:val="24"/>
          <w:szCs w:val="24"/>
          <w:lang w:val="en-GB"/>
        </w:rPr>
        <w:t>executive committee.</w:t>
      </w:r>
      <w:r w:rsidR="00605670">
        <w:rPr>
          <w:rFonts w:ascii="Times New Roman" w:hAnsi="Times New Roman" w:cs="Times New Roman"/>
          <w:i/>
          <w:iCs/>
          <w:sz w:val="24"/>
          <w:szCs w:val="24"/>
          <w:lang w:val="en-GB"/>
        </w:rPr>
        <w:t xml:space="preserve"> </w:t>
      </w:r>
      <w:r w:rsidR="009F68E4">
        <w:rPr>
          <w:rFonts w:ascii="Times New Roman" w:hAnsi="Times New Roman" w:cs="Times New Roman"/>
          <w:sz w:val="24"/>
          <w:szCs w:val="24"/>
          <w:lang w:val="en-GB"/>
        </w:rPr>
        <w:t xml:space="preserve"> </w:t>
      </w:r>
    </w:p>
    <w:p w14:paraId="45FB3886" w14:textId="4867297A" w:rsidR="00F9468A" w:rsidRDefault="00526DAB" w:rsidP="00B31E2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Public-</w:t>
      </w:r>
      <w:r w:rsidR="00DA149F">
        <w:rPr>
          <w:rFonts w:ascii="Times New Roman" w:hAnsi="Times New Roman" w:cs="Times New Roman"/>
          <w:sz w:val="24"/>
          <w:szCs w:val="24"/>
          <w:lang w:val="en-GB"/>
        </w:rPr>
        <w:t xml:space="preserve">sector </w:t>
      </w:r>
      <w:r>
        <w:rPr>
          <w:rFonts w:ascii="Times New Roman" w:hAnsi="Times New Roman" w:cs="Times New Roman"/>
          <w:sz w:val="24"/>
          <w:szCs w:val="24"/>
          <w:lang w:val="en-GB"/>
        </w:rPr>
        <w:t xml:space="preserve">bargaining </w:t>
      </w:r>
      <w:r w:rsidR="00DA149F">
        <w:rPr>
          <w:rFonts w:ascii="Times New Roman" w:hAnsi="Times New Roman" w:cs="Times New Roman"/>
          <w:sz w:val="24"/>
          <w:szCs w:val="24"/>
          <w:lang w:val="en-GB"/>
        </w:rPr>
        <w:t xml:space="preserve">takes place after </w:t>
      </w:r>
      <w:r>
        <w:rPr>
          <w:rFonts w:ascii="Times New Roman" w:hAnsi="Times New Roman" w:cs="Times New Roman"/>
          <w:sz w:val="24"/>
          <w:szCs w:val="24"/>
          <w:lang w:val="en-GB"/>
        </w:rPr>
        <w:t>private-sector</w:t>
      </w:r>
      <w:r w:rsidR="00F721F0">
        <w:rPr>
          <w:rFonts w:ascii="Times New Roman" w:hAnsi="Times New Roman" w:cs="Times New Roman"/>
          <w:sz w:val="24"/>
          <w:szCs w:val="24"/>
          <w:lang w:val="en-GB"/>
        </w:rPr>
        <w:t xml:space="preserve"> agreements </w:t>
      </w:r>
      <w:r w:rsidR="00736D1D">
        <w:rPr>
          <w:rFonts w:ascii="Times New Roman" w:hAnsi="Times New Roman" w:cs="Times New Roman"/>
          <w:sz w:val="24"/>
          <w:szCs w:val="24"/>
          <w:lang w:val="en-GB"/>
        </w:rPr>
        <w:t>are</w:t>
      </w:r>
      <w:r w:rsidR="00F721F0">
        <w:rPr>
          <w:rFonts w:ascii="Times New Roman" w:hAnsi="Times New Roman" w:cs="Times New Roman"/>
          <w:sz w:val="24"/>
          <w:szCs w:val="24"/>
          <w:lang w:val="en-GB"/>
        </w:rPr>
        <w:t xml:space="preserve"> concluded. </w:t>
      </w:r>
      <w:r w:rsidR="006F4ACE">
        <w:rPr>
          <w:rFonts w:ascii="Times New Roman" w:hAnsi="Times New Roman" w:cs="Times New Roman"/>
          <w:sz w:val="24"/>
          <w:szCs w:val="24"/>
          <w:lang w:val="en-GB"/>
        </w:rPr>
        <w:t>T</w:t>
      </w:r>
      <w:r w:rsidR="008D174A">
        <w:rPr>
          <w:rFonts w:ascii="Times New Roman" w:hAnsi="Times New Roman" w:cs="Times New Roman"/>
          <w:sz w:val="24"/>
          <w:szCs w:val="24"/>
          <w:lang w:val="en-GB"/>
        </w:rPr>
        <w:t>her</w:t>
      </w:r>
      <w:r w:rsidR="006F4ACE">
        <w:rPr>
          <w:rFonts w:ascii="Times New Roman" w:hAnsi="Times New Roman" w:cs="Times New Roman"/>
          <w:sz w:val="24"/>
          <w:szCs w:val="24"/>
          <w:lang w:val="en-GB"/>
        </w:rPr>
        <w:t xml:space="preserve">e is a consensus that </w:t>
      </w:r>
      <w:r w:rsidR="0033427E">
        <w:rPr>
          <w:rFonts w:ascii="Times New Roman" w:hAnsi="Times New Roman" w:cs="Times New Roman"/>
          <w:sz w:val="24"/>
          <w:szCs w:val="24"/>
          <w:lang w:val="en-GB"/>
        </w:rPr>
        <w:t>average wage increases</w:t>
      </w:r>
      <w:r w:rsidR="00013014">
        <w:rPr>
          <w:rFonts w:ascii="Times New Roman" w:hAnsi="Times New Roman" w:cs="Times New Roman"/>
          <w:sz w:val="24"/>
          <w:szCs w:val="24"/>
          <w:lang w:val="en-GB"/>
        </w:rPr>
        <w:t xml:space="preserve"> should be the same</w:t>
      </w:r>
      <w:r w:rsidR="0033427E">
        <w:rPr>
          <w:rFonts w:ascii="Times New Roman" w:hAnsi="Times New Roman" w:cs="Times New Roman"/>
          <w:sz w:val="24"/>
          <w:szCs w:val="24"/>
          <w:lang w:val="en-GB"/>
        </w:rPr>
        <w:t xml:space="preserve"> in </w:t>
      </w:r>
      <w:r w:rsidR="009E76E6">
        <w:rPr>
          <w:rFonts w:ascii="Times New Roman" w:hAnsi="Times New Roman" w:cs="Times New Roman"/>
          <w:sz w:val="24"/>
          <w:szCs w:val="24"/>
          <w:lang w:val="en-GB"/>
        </w:rPr>
        <w:t xml:space="preserve">the </w:t>
      </w:r>
      <w:r w:rsidR="00013014">
        <w:rPr>
          <w:rFonts w:ascii="Times New Roman" w:hAnsi="Times New Roman" w:cs="Times New Roman"/>
          <w:sz w:val="24"/>
          <w:szCs w:val="24"/>
          <w:lang w:val="en-GB"/>
        </w:rPr>
        <w:t xml:space="preserve">various </w:t>
      </w:r>
      <w:r w:rsidR="0033427E">
        <w:rPr>
          <w:rFonts w:ascii="Times New Roman" w:hAnsi="Times New Roman" w:cs="Times New Roman"/>
          <w:sz w:val="24"/>
          <w:szCs w:val="24"/>
          <w:lang w:val="en-GB"/>
        </w:rPr>
        <w:t xml:space="preserve">public-sector </w:t>
      </w:r>
      <w:r w:rsidR="00013014">
        <w:rPr>
          <w:rFonts w:ascii="Times New Roman" w:hAnsi="Times New Roman" w:cs="Times New Roman"/>
          <w:sz w:val="24"/>
          <w:szCs w:val="24"/>
          <w:lang w:val="en-GB"/>
        </w:rPr>
        <w:t>bargaining areas as in the private sector</w:t>
      </w:r>
      <w:r w:rsidR="004B5B12">
        <w:rPr>
          <w:rFonts w:ascii="Times New Roman" w:hAnsi="Times New Roman" w:cs="Times New Roman"/>
          <w:sz w:val="24"/>
          <w:szCs w:val="24"/>
          <w:lang w:val="en-GB"/>
        </w:rPr>
        <w:t>.</w:t>
      </w:r>
      <w:r w:rsidR="0018574B">
        <w:rPr>
          <w:rFonts w:ascii="Times New Roman" w:hAnsi="Times New Roman" w:cs="Times New Roman"/>
          <w:sz w:val="24"/>
          <w:szCs w:val="24"/>
          <w:lang w:val="en-GB"/>
        </w:rPr>
        <w:t xml:space="preserve"> A difficulty</w:t>
      </w:r>
      <w:r w:rsidR="005A3079">
        <w:rPr>
          <w:rFonts w:ascii="Times New Roman" w:hAnsi="Times New Roman" w:cs="Times New Roman"/>
          <w:sz w:val="24"/>
          <w:szCs w:val="24"/>
          <w:lang w:val="en-GB"/>
        </w:rPr>
        <w:t xml:space="preserve"> is</w:t>
      </w:r>
      <w:r w:rsidR="0018574B">
        <w:rPr>
          <w:rFonts w:ascii="Times New Roman" w:hAnsi="Times New Roman" w:cs="Times New Roman"/>
          <w:sz w:val="24"/>
          <w:szCs w:val="24"/>
          <w:lang w:val="en-GB"/>
        </w:rPr>
        <w:t xml:space="preserve">, however, that </w:t>
      </w:r>
      <w:r w:rsidR="0018574B">
        <w:rPr>
          <w:rFonts w:ascii="Times New Roman" w:hAnsi="Times New Roman" w:cs="Times New Roman"/>
          <w:i/>
          <w:iCs/>
          <w:sz w:val="24"/>
          <w:szCs w:val="24"/>
          <w:lang w:val="en-GB"/>
        </w:rPr>
        <w:t>actual</w:t>
      </w:r>
      <w:r w:rsidR="0018574B">
        <w:rPr>
          <w:rFonts w:ascii="Times New Roman" w:hAnsi="Times New Roman" w:cs="Times New Roman"/>
          <w:sz w:val="24"/>
          <w:szCs w:val="24"/>
          <w:lang w:val="en-GB"/>
        </w:rPr>
        <w:t>, as opp</w:t>
      </w:r>
      <w:r w:rsidR="00372917">
        <w:rPr>
          <w:rFonts w:ascii="Times New Roman" w:hAnsi="Times New Roman" w:cs="Times New Roman"/>
          <w:sz w:val="24"/>
          <w:szCs w:val="24"/>
          <w:lang w:val="en-GB"/>
        </w:rPr>
        <w:t xml:space="preserve">osed to minimum, </w:t>
      </w:r>
      <w:r w:rsidR="00EE2B6C">
        <w:rPr>
          <w:rFonts w:ascii="Times New Roman" w:hAnsi="Times New Roman" w:cs="Times New Roman"/>
          <w:sz w:val="24"/>
          <w:szCs w:val="24"/>
          <w:lang w:val="en-GB"/>
        </w:rPr>
        <w:t xml:space="preserve">wages in the private sector are determined </w:t>
      </w:r>
      <w:r w:rsidR="005A3079">
        <w:rPr>
          <w:rFonts w:ascii="Times New Roman" w:hAnsi="Times New Roman" w:cs="Times New Roman"/>
          <w:sz w:val="24"/>
          <w:szCs w:val="24"/>
          <w:lang w:val="en-GB"/>
        </w:rPr>
        <w:t>locally</w:t>
      </w:r>
      <w:r w:rsidR="008A263A">
        <w:rPr>
          <w:rFonts w:ascii="Times New Roman" w:hAnsi="Times New Roman" w:cs="Times New Roman"/>
          <w:sz w:val="24"/>
          <w:szCs w:val="24"/>
          <w:lang w:val="en-GB"/>
        </w:rPr>
        <w:t xml:space="preserve">. Hence, actual </w:t>
      </w:r>
      <w:r w:rsidR="008863DA">
        <w:rPr>
          <w:rFonts w:ascii="Times New Roman" w:hAnsi="Times New Roman" w:cs="Times New Roman"/>
          <w:sz w:val="24"/>
          <w:szCs w:val="24"/>
          <w:lang w:val="en-GB"/>
        </w:rPr>
        <w:t xml:space="preserve">private-sector </w:t>
      </w:r>
      <w:r w:rsidR="008A263A">
        <w:rPr>
          <w:rFonts w:ascii="Times New Roman" w:hAnsi="Times New Roman" w:cs="Times New Roman"/>
          <w:sz w:val="24"/>
          <w:szCs w:val="24"/>
          <w:lang w:val="en-GB"/>
        </w:rPr>
        <w:t xml:space="preserve">wage increases </w:t>
      </w:r>
      <w:r w:rsidR="008863DA">
        <w:rPr>
          <w:rFonts w:ascii="Times New Roman" w:hAnsi="Times New Roman" w:cs="Times New Roman"/>
          <w:sz w:val="24"/>
          <w:szCs w:val="24"/>
          <w:lang w:val="en-GB"/>
        </w:rPr>
        <w:t xml:space="preserve">are not known </w:t>
      </w:r>
      <w:r w:rsidR="00B17112">
        <w:rPr>
          <w:rFonts w:ascii="Times New Roman" w:hAnsi="Times New Roman" w:cs="Times New Roman"/>
          <w:sz w:val="24"/>
          <w:szCs w:val="24"/>
          <w:lang w:val="en-GB"/>
        </w:rPr>
        <w:t xml:space="preserve">when public-sector settlements are made. </w:t>
      </w:r>
      <w:r w:rsidR="00727658">
        <w:rPr>
          <w:rFonts w:ascii="Times New Roman" w:hAnsi="Times New Roman" w:cs="Times New Roman"/>
          <w:sz w:val="24"/>
          <w:szCs w:val="24"/>
          <w:lang w:val="en-GB"/>
        </w:rPr>
        <w:t xml:space="preserve">The latter, in </w:t>
      </w:r>
      <w:r w:rsidR="00A64C71">
        <w:rPr>
          <w:rFonts w:ascii="Times New Roman" w:hAnsi="Times New Roman" w:cs="Times New Roman"/>
          <w:sz w:val="24"/>
          <w:szCs w:val="24"/>
          <w:lang w:val="en-GB"/>
        </w:rPr>
        <w:t xml:space="preserve">contrast to private-sector </w:t>
      </w:r>
      <w:r w:rsidR="00B640AC">
        <w:rPr>
          <w:rFonts w:ascii="Times New Roman" w:hAnsi="Times New Roman" w:cs="Times New Roman"/>
          <w:sz w:val="24"/>
          <w:szCs w:val="24"/>
          <w:lang w:val="en-GB"/>
        </w:rPr>
        <w:t>ag</w:t>
      </w:r>
      <w:r w:rsidR="00727658">
        <w:rPr>
          <w:rFonts w:ascii="Times New Roman" w:hAnsi="Times New Roman" w:cs="Times New Roman"/>
          <w:sz w:val="24"/>
          <w:szCs w:val="24"/>
          <w:lang w:val="en-GB"/>
        </w:rPr>
        <w:t>reements,</w:t>
      </w:r>
      <w:r w:rsidR="00A64C71">
        <w:rPr>
          <w:rFonts w:ascii="Times New Roman" w:hAnsi="Times New Roman" w:cs="Times New Roman"/>
          <w:sz w:val="24"/>
          <w:szCs w:val="24"/>
          <w:lang w:val="en-GB"/>
        </w:rPr>
        <w:t xml:space="preserve"> </w:t>
      </w:r>
      <w:r w:rsidR="00050ED1">
        <w:rPr>
          <w:rFonts w:ascii="Times New Roman" w:hAnsi="Times New Roman" w:cs="Times New Roman"/>
          <w:sz w:val="24"/>
          <w:szCs w:val="24"/>
          <w:lang w:val="en-GB"/>
        </w:rPr>
        <w:t xml:space="preserve">usually contain provisions </w:t>
      </w:r>
      <w:r w:rsidR="00A220B9">
        <w:rPr>
          <w:rFonts w:ascii="Times New Roman" w:hAnsi="Times New Roman" w:cs="Times New Roman"/>
          <w:sz w:val="24"/>
          <w:szCs w:val="24"/>
          <w:lang w:val="en-GB"/>
        </w:rPr>
        <w:t xml:space="preserve">on </w:t>
      </w:r>
      <w:r w:rsidR="00830BF5">
        <w:rPr>
          <w:rFonts w:ascii="Times New Roman" w:hAnsi="Times New Roman" w:cs="Times New Roman"/>
          <w:sz w:val="24"/>
          <w:szCs w:val="24"/>
          <w:lang w:val="en-GB"/>
        </w:rPr>
        <w:t>actual</w:t>
      </w:r>
      <w:r w:rsidR="00A220B9">
        <w:rPr>
          <w:rFonts w:ascii="Times New Roman" w:hAnsi="Times New Roman" w:cs="Times New Roman"/>
          <w:sz w:val="24"/>
          <w:szCs w:val="24"/>
          <w:lang w:val="en-GB"/>
        </w:rPr>
        <w:t xml:space="preserve"> wage increases: both central </w:t>
      </w:r>
      <w:r w:rsidR="00830BF5">
        <w:rPr>
          <w:rFonts w:ascii="Times New Roman" w:hAnsi="Times New Roman" w:cs="Times New Roman"/>
          <w:sz w:val="24"/>
          <w:szCs w:val="24"/>
          <w:lang w:val="en-GB"/>
        </w:rPr>
        <w:t>and local ones.</w:t>
      </w:r>
      <w:r w:rsidR="00050ED1">
        <w:rPr>
          <w:rFonts w:ascii="Times New Roman" w:hAnsi="Times New Roman" w:cs="Times New Roman"/>
          <w:sz w:val="24"/>
          <w:szCs w:val="24"/>
          <w:lang w:val="en-GB"/>
        </w:rPr>
        <w:t xml:space="preserve"> </w:t>
      </w:r>
      <w:r w:rsidR="00FA2FB3">
        <w:rPr>
          <w:rFonts w:ascii="Times New Roman" w:hAnsi="Times New Roman" w:cs="Times New Roman"/>
          <w:sz w:val="24"/>
          <w:szCs w:val="24"/>
          <w:lang w:val="en-GB"/>
        </w:rPr>
        <w:t>There</w:t>
      </w:r>
      <w:r w:rsidR="00AA5B24">
        <w:rPr>
          <w:rFonts w:ascii="Times New Roman" w:hAnsi="Times New Roman" w:cs="Times New Roman"/>
          <w:sz w:val="24"/>
          <w:szCs w:val="24"/>
          <w:lang w:val="en-GB"/>
        </w:rPr>
        <w:t xml:space="preserve"> is a formalised system of </w:t>
      </w:r>
      <w:r w:rsidR="00AA5B24" w:rsidRPr="00727658">
        <w:rPr>
          <w:rFonts w:ascii="Times New Roman" w:hAnsi="Times New Roman" w:cs="Times New Roman"/>
          <w:i/>
          <w:iCs/>
          <w:sz w:val="24"/>
          <w:szCs w:val="24"/>
          <w:lang w:val="en-GB"/>
        </w:rPr>
        <w:t>ex</w:t>
      </w:r>
      <w:r w:rsidR="00335AEA">
        <w:rPr>
          <w:rFonts w:ascii="Times New Roman" w:hAnsi="Times New Roman" w:cs="Times New Roman"/>
          <w:i/>
          <w:iCs/>
          <w:sz w:val="24"/>
          <w:szCs w:val="24"/>
          <w:lang w:val="en-GB"/>
        </w:rPr>
        <w:t>-</w:t>
      </w:r>
      <w:r w:rsidR="00AA5B24" w:rsidRPr="00727658">
        <w:rPr>
          <w:rFonts w:ascii="Times New Roman" w:hAnsi="Times New Roman" w:cs="Times New Roman"/>
          <w:i/>
          <w:iCs/>
          <w:sz w:val="24"/>
          <w:szCs w:val="24"/>
          <w:lang w:val="en-GB"/>
        </w:rPr>
        <w:t>post</w:t>
      </w:r>
      <w:r w:rsidR="00AA5B24">
        <w:rPr>
          <w:rFonts w:ascii="Times New Roman" w:hAnsi="Times New Roman" w:cs="Times New Roman"/>
          <w:sz w:val="24"/>
          <w:szCs w:val="24"/>
          <w:lang w:val="en-GB"/>
        </w:rPr>
        <w:t xml:space="preserve"> regulation</w:t>
      </w:r>
      <w:r w:rsidR="007A348E">
        <w:rPr>
          <w:rFonts w:ascii="Times New Roman" w:hAnsi="Times New Roman" w:cs="Times New Roman"/>
          <w:sz w:val="24"/>
          <w:szCs w:val="24"/>
          <w:lang w:val="en-GB"/>
        </w:rPr>
        <w:t xml:space="preserve"> </w:t>
      </w:r>
      <w:r w:rsidR="00B07020">
        <w:rPr>
          <w:rFonts w:ascii="Times New Roman" w:hAnsi="Times New Roman" w:cs="Times New Roman"/>
          <w:sz w:val="24"/>
          <w:szCs w:val="24"/>
          <w:lang w:val="en-GB"/>
        </w:rPr>
        <w:t>(</w:t>
      </w:r>
      <w:r w:rsidR="00B07020">
        <w:rPr>
          <w:rFonts w:ascii="Times New Roman" w:hAnsi="Times New Roman" w:cs="Times New Roman"/>
          <w:i/>
          <w:iCs/>
          <w:sz w:val="24"/>
          <w:szCs w:val="24"/>
          <w:lang w:val="en-GB"/>
        </w:rPr>
        <w:t>efterregulering</w:t>
      </w:r>
      <w:r w:rsidR="00B07020">
        <w:rPr>
          <w:rFonts w:ascii="Times New Roman" w:hAnsi="Times New Roman" w:cs="Times New Roman"/>
          <w:sz w:val="24"/>
          <w:szCs w:val="24"/>
          <w:lang w:val="en-GB"/>
        </w:rPr>
        <w:t>)</w:t>
      </w:r>
      <w:r w:rsidR="00AA5B24">
        <w:rPr>
          <w:rFonts w:ascii="Times New Roman" w:hAnsi="Times New Roman" w:cs="Times New Roman"/>
          <w:sz w:val="24"/>
          <w:szCs w:val="24"/>
          <w:lang w:val="en-GB"/>
        </w:rPr>
        <w:t xml:space="preserve"> </w:t>
      </w:r>
      <w:r w:rsidR="00F7053C">
        <w:rPr>
          <w:rFonts w:ascii="Times New Roman" w:hAnsi="Times New Roman" w:cs="Times New Roman"/>
          <w:sz w:val="24"/>
          <w:szCs w:val="24"/>
          <w:lang w:val="en-GB"/>
        </w:rPr>
        <w:t xml:space="preserve">of wages in </w:t>
      </w:r>
      <w:r w:rsidR="00184BB1">
        <w:rPr>
          <w:rFonts w:ascii="Times New Roman" w:hAnsi="Times New Roman" w:cs="Times New Roman"/>
          <w:sz w:val="24"/>
          <w:szCs w:val="24"/>
          <w:lang w:val="en-GB"/>
        </w:rPr>
        <w:t>the public sector</w:t>
      </w:r>
      <w:r w:rsidR="00995D72">
        <w:rPr>
          <w:rFonts w:ascii="Times New Roman" w:hAnsi="Times New Roman" w:cs="Times New Roman"/>
          <w:sz w:val="24"/>
          <w:szCs w:val="24"/>
          <w:lang w:val="en-GB"/>
        </w:rPr>
        <w:t>: if wages</w:t>
      </w:r>
      <w:r w:rsidR="000F1349">
        <w:rPr>
          <w:rFonts w:ascii="Times New Roman" w:hAnsi="Times New Roman" w:cs="Times New Roman"/>
          <w:sz w:val="24"/>
          <w:szCs w:val="24"/>
          <w:lang w:val="en-GB"/>
        </w:rPr>
        <w:t xml:space="preserve"> in a </w:t>
      </w:r>
      <w:r w:rsidR="00167C2A">
        <w:rPr>
          <w:rFonts w:ascii="Times New Roman" w:hAnsi="Times New Roman" w:cs="Times New Roman"/>
          <w:sz w:val="24"/>
          <w:szCs w:val="24"/>
          <w:lang w:val="en-GB"/>
        </w:rPr>
        <w:t>public-sector bargaining area</w:t>
      </w:r>
      <w:r w:rsidR="00995D72">
        <w:rPr>
          <w:rFonts w:ascii="Times New Roman" w:hAnsi="Times New Roman" w:cs="Times New Roman"/>
          <w:sz w:val="24"/>
          <w:szCs w:val="24"/>
          <w:lang w:val="en-GB"/>
        </w:rPr>
        <w:t xml:space="preserve"> have increased by </w:t>
      </w:r>
      <w:r w:rsidR="00590EA4">
        <w:rPr>
          <w:rFonts w:ascii="Times New Roman" w:hAnsi="Times New Roman" w:cs="Times New Roman"/>
          <w:sz w:val="24"/>
          <w:szCs w:val="24"/>
          <w:lang w:val="en-GB"/>
        </w:rPr>
        <w:t>less than in the private sector, 80% of the difference</w:t>
      </w:r>
      <w:r w:rsidR="004A41B3">
        <w:rPr>
          <w:rFonts w:ascii="Times New Roman" w:hAnsi="Times New Roman" w:cs="Times New Roman"/>
          <w:sz w:val="24"/>
          <w:szCs w:val="24"/>
          <w:lang w:val="en-GB"/>
        </w:rPr>
        <w:t xml:space="preserve"> is added</w:t>
      </w:r>
      <w:r w:rsidR="00241C1E">
        <w:rPr>
          <w:rFonts w:ascii="Times New Roman" w:hAnsi="Times New Roman" w:cs="Times New Roman"/>
          <w:sz w:val="24"/>
          <w:szCs w:val="24"/>
          <w:lang w:val="en-GB"/>
        </w:rPr>
        <w:t xml:space="preserve"> to the </w:t>
      </w:r>
      <w:r w:rsidR="002D0D50">
        <w:rPr>
          <w:rFonts w:ascii="Times New Roman" w:hAnsi="Times New Roman" w:cs="Times New Roman"/>
          <w:sz w:val="24"/>
          <w:szCs w:val="24"/>
          <w:lang w:val="en-GB"/>
        </w:rPr>
        <w:t>agreed increases</w:t>
      </w:r>
      <w:r w:rsidR="00241C1E">
        <w:rPr>
          <w:rFonts w:ascii="Times New Roman" w:hAnsi="Times New Roman" w:cs="Times New Roman"/>
          <w:sz w:val="24"/>
          <w:szCs w:val="24"/>
          <w:lang w:val="en-GB"/>
        </w:rPr>
        <w:t>; if wages have increased by more</w:t>
      </w:r>
      <w:r w:rsidR="002D0D50">
        <w:rPr>
          <w:rFonts w:ascii="Times New Roman" w:hAnsi="Times New Roman" w:cs="Times New Roman"/>
          <w:sz w:val="24"/>
          <w:szCs w:val="24"/>
          <w:lang w:val="en-GB"/>
        </w:rPr>
        <w:t xml:space="preserve">, 100% of the difference is </w:t>
      </w:r>
      <w:r w:rsidR="00070E66">
        <w:rPr>
          <w:rFonts w:ascii="Times New Roman" w:hAnsi="Times New Roman" w:cs="Times New Roman"/>
          <w:sz w:val="24"/>
          <w:szCs w:val="24"/>
          <w:lang w:val="en-GB"/>
        </w:rPr>
        <w:t>deducted.</w:t>
      </w:r>
    </w:p>
    <w:p w14:paraId="0CE88D28" w14:textId="70003C38" w:rsidR="00BB3877" w:rsidRDefault="007977E9" w:rsidP="00C7721A">
      <w:pPr>
        <w:pStyle w:val="Heading2"/>
        <w:rPr>
          <w:lang w:val="en-GB"/>
        </w:rPr>
      </w:pPr>
      <w:r>
        <w:rPr>
          <w:lang w:val="en-GB"/>
        </w:rPr>
        <w:lastRenderedPageBreak/>
        <w:t>2.2 Sweden</w:t>
      </w:r>
      <w:r w:rsidR="00584756">
        <w:rPr>
          <w:rStyle w:val="FootnoteReference"/>
          <w:lang w:val="en-GB"/>
        </w:rPr>
        <w:footnoteReference w:id="3"/>
      </w:r>
    </w:p>
    <w:p w14:paraId="5F6DE61B" w14:textId="79DB254C" w:rsidR="00617900" w:rsidRDefault="000F7DA8" w:rsidP="00D42B2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During the 1980s and </w:t>
      </w:r>
      <w:r w:rsidR="00CC12B3">
        <w:rPr>
          <w:rFonts w:ascii="Times New Roman" w:hAnsi="Times New Roman" w:cs="Times New Roman"/>
          <w:sz w:val="24"/>
          <w:szCs w:val="24"/>
          <w:lang w:val="en-GB"/>
        </w:rPr>
        <w:t xml:space="preserve">1990s, a </w:t>
      </w:r>
      <w:r w:rsidR="00773912">
        <w:rPr>
          <w:rFonts w:ascii="Times New Roman" w:hAnsi="Times New Roman" w:cs="Times New Roman"/>
          <w:sz w:val="24"/>
          <w:szCs w:val="24"/>
          <w:lang w:val="en-GB"/>
        </w:rPr>
        <w:t xml:space="preserve">gradual transition from </w:t>
      </w:r>
      <w:r w:rsidR="004816A2">
        <w:rPr>
          <w:rFonts w:ascii="Times New Roman" w:hAnsi="Times New Roman" w:cs="Times New Roman"/>
          <w:sz w:val="24"/>
          <w:szCs w:val="24"/>
          <w:lang w:val="en-GB"/>
        </w:rPr>
        <w:t xml:space="preserve">economy-wide bargaining between </w:t>
      </w:r>
      <w:r w:rsidR="00043B2D">
        <w:rPr>
          <w:rFonts w:ascii="Times New Roman" w:hAnsi="Times New Roman" w:cs="Times New Roman"/>
          <w:sz w:val="24"/>
          <w:szCs w:val="24"/>
          <w:lang w:val="en-GB"/>
        </w:rPr>
        <w:t>peak</w:t>
      </w:r>
      <w:r w:rsidR="00C80C46">
        <w:rPr>
          <w:rFonts w:ascii="Times New Roman" w:hAnsi="Times New Roman" w:cs="Times New Roman"/>
          <w:sz w:val="24"/>
          <w:szCs w:val="24"/>
          <w:lang w:val="en-GB"/>
        </w:rPr>
        <w:t xml:space="preserve"> </w:t>
      </w:r>
      <w:r w:rsidR="00043B2D">
        <w:rPr>
          <w:rFonts w:ascii="Times New Roman" w:hAnsi="Times New Roman" w:cs="Times New Roman"/>
          <w:sz w:val="24"/>
          <w:szCs w:val="24"/>
          <w:lang w:val="en-GB"/>
        </w:rPr>
        <w:t>organisations to industry-level barga</w:t>
      </w:r>
      <w:r w:rsidR="00324763">
        <w:rPr>
          <w:rFonts w:ascii="Times New Roman" w:hAnsi="Times New Roman" w:cs="Times New Roman"/>
          <w:sz w:val="24"/>
          <w:szCs w:val="24"/>
          <w:lang w:val="en-GB"/>
        </w:rPr>
        <w:t>ining</w:t>
      </w:r>
      <w:r w:rsidR="007E577A">
        <w:rPr>
          <w:rFonts w:ascii="Times New Roman" w:hAnsi="Times New Roman" w:cs="Times New Roman"/>
          <w:sz w:val="24"/>
          <w:szCs w:val="24"/>
          <w:lang w:val="en-GB"/>
        </w:rPr>
        <w:t xml:space="preserve"> occured</w:t>
      </w:r>
      <w:r w:rsidR="00324763">
        <w:rPr>
          <w:rFonts w:ascii="Times New Roman" w:hAnsi="Times New Roman" w:cs="Times New Roman"/>
          <w:sz w:val="24"/>
          <w:szCs w:val="24"/>
          <w:lang w:val="en-GB"/>
        </w:rPr>
        <w:t>. T</w:t>
      </w:r>
      <w:r w:rsidR="008D174A">
        <w:rPr>
          <w:rFonts w:ascii="Times New Roman" w:hAnsi="Times New Roman" w:cs="Times New Roman"/>
          <w:sz w:val="24"/>
          <w:szCs w:val="24"/>
          <w:lang w:val="en-GB"/>
        </w:rPr>
        <w:t>her</w:t>
      </w:r>
      <w:r w:rsidR="00324763">
        <w:rPr>
          <w:rFonts w:ascii="Times New Roman" w:hAnsi="Times New Roman" w:cs="Times New Roman"/>
          <w:sz w:val="24"/>
          <w:szCs w:val="24"/>
          <w:lang w:val="en-GB"/>
        </w:rPr>
        <w:t>e wer</w:t>
      </w:r>
      <w:r w:rsidR="0086120E">
        <w:rPr>
          <w:rFonts w:ascii="Times New Roman" w:hAnsi="Times New Roman" w:cs="Times New Roman"/>
          <w:sz w:val="24"/>
          <w:szCs w:val="24"/>
          <w:lang w:val="en-GB"/>
        </w:rPr>
        <w:t>e then</w:t>
      </w:r>
      <w:r w:rsidR="00324763">
        <w:rPr>
          <w:rFonts w:ascii="Times New Roman" w:hAnsi="Times New Roman" w:cs="Times New Roman"/>
          <w:sz w:val="24"/>
          <w:szCs w:val="24"/>
          <w:lang w:val="en-GB"/>
        </w:rPr>
        <w:t xml:space="preserve"> </w:t>
      </w:r>
      <w:r w:rsidR="00883B7D">
        <w:rPr>
          <w:rFonts w:ascii="Times New Roman" w:hAnsi="Times New Roman" w:cs="Times New Roman"/>
          <w:sz w:val="24"/>
          <w:szCs w:val="24"/>
          <w:lang w:val="en-GB"/>
        </w:rPr>
        <w:t>some</w:t>
      </w:r>
      <w:r w:rsidR="00F62828">
        <w:rPr>
          <w:rFonts w:ascii="Times New Roman" w:hAnsi="Times New Roman" w:cs="Times New Roman"/>
          <w:sz w:val="24"/>
          <w:szCs w:val="24"/>
          <w:lang w:val="en-GB"/>
        </w:rPr>
        <w:t xml:space="preserve"> elements </w:t>
      </w:r>
      <w:r w:rsidR="00D27E7E">
        <w:rPr>
          <w:rFonts w:ascii="Times New Roman" w:hAnsi="Times New Roman" w:cs="Times New Roman"/>
          <w:sz w:val="24"/>
          <w:szCs w:val="24"/>
          <w:lang w:val="en-GB"/>
        </w:rPr>
        <w:t>of tripartite bargaining, but much less so</w:t>
      </w:r>
      <w:r w:rsidR="00E2316E">
        <w:rPr>
          <w:rFonts w:ascii="Times New Roman" w:hAnsi="Times New Roman" w:cs="Times New Roman"/>
          <w:sz w:val="24"/>
          <w:szCs w:val="24"/>
          <w:lang w:val="en-GB"/>
        </w:rPr>
        <w:t xml:space="preserve"> </w:t>
      </w:r>
      <w:r w:rsidR="00C153A9">
        <w:rPr>
          <w:rFonts w:ascii="Times New Roman" w:hAnsi="Times New Roman" w:cs="Times New Roman"/>
          <w:sz w:val="24"/>
          <w:szCs w:val="24"/>
          <w:lang w:val="en-GB"/>
        </w:rPr>
        <w:t>than in the ot</w:t>
      </w:r>
      <w:r w:rsidR="008D174A">
        <w:rPr>
          <w:rFonts w:ascii="Times New Roman" w:hAnsi="Times New Roman" w:cs="Times New Roman"/>
          <w:sz w:val="24"/>
          <w:szCs w:val="24"/>
          <w:lang w:val="en-GB"/>
        </w:rPr>
        <w:t>her</w:t>
      </w:r>
      <w:r w:rsidR="00C153A9">
        <w:rPr>
          <w:rFonts w:ascii="Times New Roman" w:hAnsi="Times New Roman" w:cs="Times New Roman"/>
          <w:sz w:val="24"/>
          <w:szCs w:val="24"/>
          <w:lang w:val="en-GB"/>
        </w:rPr>
        <w:t xml:space="preserve"> Nordic countries</w:t>
      </w:r>
      <w:r w:rsidR="00E2316E">
        <w:rPr>
          <w:rFonts w:ascii="Times New Roman" w:hAnsi="Times New Roman" w:cs="Times New Roman"/>
          <w:sz w:val="24"/>
          <w:szCs w:val="24"/>
          <w:lang w:val="en-GB"/>
        </w:rPr>
        <w:t>.</w:t>
      </w:r>
      <w:r w:rsidR="00762CBB">
        <w:rPr>
          <w:rFonts w:ascii="Times New Roman" w:hAnsi="Times New Roman" w:cs="Times New Roman"/>
          <w:sz w:val="24"/>
          <w:szCs w:val="24"/>
          <w:lang w:val="en-GB"/>
        </w:rPr>
        <w:t xml:space="preserve"> A </w:t>
      </w:r>
      <w:r w:rsidR="00433F57">
        <w:rPr>
          <w:rFonts w:ascii="Times New Roman" w:hAnsi="Times New Roman" w:cs="Times New Roman"/>
          <w:sz w:val="24"/>
          <w:szCs w:val="24"/>
          <w:lang w:val="en-GB"/>
        </w:rPr>
        <w:t xml:space="preserve">crucial step was when </w:t>
      </w:r>
      <w:r w:rsidR="00316B6A">
        <w:rPr>
          <w:rFonts w:ascii="Times New Roman" w:hAnsi="Times New Roman" w:cs="Times New Roman"/>
          <w:sz w:val="24"/>
          <w:szCs w:val="24"/>
          <w:lang w:val="en-GB"/>
        </w:rPr>
        <w:t>the Swedish Employers’ Federation</w:t>
      </w:r>
      <w:r w:rsidR="00A72B69">
        <w:rPr>
          <w:rFonts w:ascii="Times New Roman" w:hAnsi="Times New Roman" w:cs="Times New Roman"/>
          <w:sz w:val="24"/>
          <w:szCs w:val="24"/>
          <w:lang w:val="en-GB"/>
        </w:rPr>
        <w:t xml:space="preserve"> (</w:t>
      </w:r>
      <w:r w:rsidR="00A72B69">
        <w:rPr>
          <w:rFonts w:ascii="Times New Roman" w:hAnsi="Times New Roman" w:cs="Times New Roman"/>
          <w:i/>
          <w:iCs/>
          <w:sz w:val="24"/>
          <w:szCs w:val="24"/>
          <w:lang w:val="en-GB"/>
        </w:rPr>
        <w:t>S</w:t>
      </w:r>
      <w:r w:rsidR="00A72B69">
        <w:rPr>
          <w:rFonts w:ascii="Times New Roman" w:hAnsi="Times New Roman" w:cs="Times New Roman"/>
          <w:bCs/>
          <w:i/>
          <w:iCs/>
          <w:caps/>
          <w:sz w:val="24"/>
          <w:szCs w:val="24"/>
          <w:lang w:val="en-GB"/>
        </w:rPr>
        <w:t>AF</w:t>
      </w:r>
      <w:r w:rsidR="00A72B69">
        <w:rPr>
          <w:rFonts w:ascii="Times New Roman" w:hAnsi="Times New Roman" w:cs="Times New Roman"/>
          <w:bCs/>
          <w:caps/>
          <w:sz w:val="24"/>
          <w:szCs w:val="24"/>
          <w:lang w:val="en-GB"/>
        </w:rPr>
        <w:t>)</w:t>
      </w:r>
      <w:r w:rsidR="00316B6A">
        <w:rPr>
          <w:rFonts w:ascii="Times New Roman" w:hAnsi="Times New Roman" w:cs="Times New Roman"/>
          <w:sz w:val="24"/>
          <w:szCs w:val="24"/>
          <w:lang w:val="en-GB"/>
        </w:rPr>
        <w:t xml:space="preserve">, in 1990 decided </w:t>
      </w:r>
      <w:r w:rsidR="00250C1E">
        <w:rPr>
          <w:rFonts w:ascii="Times New Roman" w:hAnsi="Times New Roman" w:cs="Times New Roman"/>
          <w:sz w:val="24"/>
          <w:szCs w:val="24"/>
          <w:lang w:val="en-GB"/>
        </w:rPr>
        <w:t xml:space="preserve">to </w:t>
      </w:r>
      <w:r w:rsidR="00D50BD6">
        <w:rPr>
          <w:rFonts w:ascii="Times New Roman" w:hAnsi="Times New Roman" w:cs="Times New Roman"/>
          <w:sz w:val="24"/>
          <w:szCs w:val="24"/>
          <w:lang w:val="en-GB"/>
        </w:rPr>
        <w:t>abandon</w:t>
      </w:r>
      <w:r w:rsidR="00250C1E">
        <w:rPr>
          <w:rFonts w:ascii="Times New Roman" w:hAnsi="Times New Roman" w:cs="Times New Roman"/>
          <w:sz w:val="24"/>
          <w:szCs w:val="24"/>
          <w:lang w:val="en-GB"/>
        </w:rPr>
        <w:t xml:space="preserve"> </w:t>
      </w:r>
      <w:r w:rsidR="0077452B">
        <w:rPr>
          <w:rFonts w:ascii="Times New Roman" w:hAnsi="Times New Roman" w:cs="Times New Roman"/>
          <w:sz w:val="24"/>
          <w:szCs w:val="24"/>
          <w:lang w:val="en-GB"/>
        </w:rPr>
        <w:t>central wage nego</w:t>
      </w:r>
      <w:r w:rsidR="007A7195">
        <w:rPr>
          <w:rFonts w:ascii="Times New Roman" w:hAnsi="Times New Roman" w:cs="Times New Roman"/>
          <w:sz w:val="24"/>
          <w:szCs w:val="24"/>
          <w:lang w:val="en-GB"/>
        </w:rPr>
        <w:t>t</w:t>
      </w:r>
      <w:r w:rsidR="0077452B">
        <w:rPr>
          <w:rFonts w:ascii="Times New Roman" w:hAnsi="Times New Roman" w:cs="Times New Roman"/>
          <w:sz w:val="24"/>
          <w:szCs w:val="24"/>
          <w:lang w:val="en-GB"/>
        </w:rPr>
        <w:t>iations.</w:t>
      </w:r>
      <w:r w:rsidR="006D2EA0">
        <w:rPr>
          <w:rFonts w:ascii="Times New Roman" w:hAnsi="Times New Roman" w:cs="Times New Roman"/>
          <w:sz w:val="24"/>
          <w:szCs w:val="24"/>
          <w:lang w:val="en-GB"/>
        </w:rPr>
        <w:t xml:space="preserve"> </w:t>
      </w:r>
      <w:r w:rsidR="0077452B">
        <w:rPr>
          <w:rFonts w:ascii="Times New Roman" w:hAnsi="Times New Roman" w:cs="Times New Roman"/>
          <w:sz w:val="24"/>
          <w:szCs w:val="24"/>
          <w:lang w:val="en-GB"/>
        </w:rPr>
        <w:t xml:space="preserve">Despite this, </w:t>
      </w:r>
      <w:r w:rsidR="006F60DA">
        <w:rPr>
          <w:rFonts w:ascii="Times New Roman" w:hAnsi="Times New Roman" w:cs="Times New Roman"/>
          <w:sz w:val="24"/>
          <w:szCs w:val="24"/>
          <w:lang w:val="en-GB"/>
        </w:rPr>
        <w:t>a government-appointed incomes policy co</w:t>
      </w:r>
      <w:r w:rsidR="00DF7CF9">
        <w:rPr>
          <w:rFonts w:ascii="Times New Roman" w:hAnsi="Times New Roman" w:cs="Times New Roman"/>
          <w:sz w:val="24"/>
          <w:szCs w:val="24"/>
          <w:lang w:val="en-GB"/>
        </w:rPr>
        <w:t>mmission</w:t>
      </w:r>
      <w:r w:rsidR="00A778B8">
        <w:rPr>
          <w:rFonts w:ascii="Times New Roman" w:hAnsi="Times New Roman" w:cs="Times New Roman"/>
          <w:sz w:val="24"/>
          <w:szCs w:val="24"/>
          <w:lang w:val="en-GB"/>
        </w:rPr>
        <w:t xml:space="preserve"> managed to achieve </w:t>
      </w:r>
      <w:r w:rsidR="00132DCC">
        <w:rPr>
          <w:rFonts w:ascii="Times New Roman" w:hAnsi="Times New Roman" w:cs="Times New Roman"/>
          <w:sz w:val="24"/>
          <w:szCs w:val="24"/>
          <w:lang w:val="en-GB"/>
        </w:rPr>
        <w:t>highly coordinated wage bargaining during the</w:t>
      </w:r>
      <w:r w:rsidR="003123F5">
        <w:rPr>
          <w:rFonts w:ascii="Times New Roman" w:hAnsi="Times New Roman" w:cs="Times New Roman"/>
          <w:sz w:val="24"/>
          <w:szCs w:val="24"/>
          <w:lang w:val="en-GB"/>
        </w:rPr>
        <w:t xml:space="preserve"> deep economic crisis </w:t>
      </w:r>
      <w:r w:rsidR="008400B9">
        <w:rPr>
          <w:rFonts w:ascii="Times New Roman" w:hAnsi="Times New Roman" w:cs="Times New Roman"/>
          <w:sz w:val="24"/>
          <w:szCs w:val="24"/>
          <w:lang w:val="en-GB"/>
        </w:rPr>
        <w:t>in the early 1990s</w:t>
      </w:r>
      <w:r w:rsidR="007A7195">
        <w:rPr>
          <w:rFonts w:ascii="Times New Roman" w:hAnsi="Times New Roman" w:cs="Times New Roman"/>
          <w:sz w:val="24"/>
          <w:szCs w:val="24"/>
          <w:lang w:val="en-GB"/>
        </w:rPr>
        <w:t xml:space="preserve">. </w:t>
      </w:r>
      <w:r w:rsidR="00813CBE">
        <w:rPr>
          <w:rFonts w:ascii="Times New Roman" w:hAnsi="Times New Roman" w:cs="Times New Roman"/>
          <w:sz w:val="24"/>
          <w:szCs w:val="24"/>
          <w:lang w:val="en-GB"/>
        </w:rPr>
        <w:t xml:space="preserve"> </w:t>
      </w:r>
      <w:r w:rsidR="00C9411A">
        <w:rPr>
          <w:rFonts w:ascii="Times New Roman" w:hAnsi="Times New Roman" w:cs="Times New Roman"/>
          <w:sz w:val="24"/>
          <w:szCs w:val="24"/>
          <w:lang w:val="en-GB"/>
        </w:rPr>
        <w:t xml:space="preserve"> </w:t>
      </w:r>
    </w:p>
    <w:p w14:paraId="6532B10C" w14:textId="7A430BC1" w:rsidR="00E14041" w:rsidRDefault="00D32049" w:rsidP="00D42B2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When u</w:t>
      </w:r>
      <w:r w:rsidR="006551E6">
        <w:rPr>
          <w:rFonts w:ascii="Times New Roman" w:hAnsi="Times New Roman" w:cs="Times New Roman"/>
          <w:sz w:val="24"/>
          <w:szCs w:val="24"/>
          <w:lang w:val="en-GB"/>
        </w:rPr>
        <w:t xml:space="preserve">ncoordinated industry-level </w:t>
      </w:r>
      <w:r w:rsidR="00F470F5">
        <w:rPr>
          <w:rFonts w:ascii="Times New Roman" w:hAnsi="Times New Roman" w:cs="Times New Roman"/>
          <w:sz w:val="24"/>
          <w:szCs w:val="24"/>
          <w:lang w:val="en-GB"/>
        </w:rPr>
        <w:t>agreements for 1995</w:t>
      </w:r>
      <w:r w:rsidR="00DF7CF9">
        <w:rPr>
          <w:rFonts w:ascii="Times New Roman" w:hAnsi="Times New Roman" w:cs="Times New Roman"/>
          <w:sz w:val="24"/>
          <w:szCs w:val="24"/>
          <w:lang w:val="en-GB"/>
        </w:rPr>
        <w:t>–97</w:t>
      </w:r>
      <w:r w:rsidR="00774C26">
        <w:rPr>
          <w:rFonts w:ascii="Times New Roman" w:hAnsi="Times New Roman" w:cs="Times New Roman"/>
          <w:sz w:val="24"/>
          <w:szCs w:val="24"/>
          <w:lang w:val="en-GB"/>
        </w:rPr>
        <w:t xml:space="preserve"> led</w:t>
      </w:r>
      <w:r w:rsidR="006E3C41">
        <w:rPr>
          <w:rFonts w:ascii="Times New Roman" w:hAnsi="Times New Roman" w:cs="Times New Roman"/>
          <w:sz w:val="24"/>
          <w:szCs w:val="24"/>
          <w:lang w:val="en-GB"/>
        </w:rPr>
        <w:t xml:space="preserve"> </w:t>
      </w:r>
      <w:r w:rsidR="00774C26">
        <w:rPr>
          <w:rFonts w:ascii="Times New Roman" w:hAnsi="Times New Roman" w:cs="Times New Roman"/>
          <w:sz w:val="24"/>
          <w:szCs w:val="24"/>
          <w:lang w:val="en-GB"/>
        </w:rPr>
        <w:t xml:space="preserve">to wage rises generally regarded as </w:t>
      </w:r>
      <w:r w:rsidR="00886141">
        <w:rPr>
          <w:rFonts w:ascii="Times New Roman" w:hAnsi="Times New Roman" w:cs="Times New Roman"/>
          <w:sz w:val="24"/>
          <w:szCs w:val="24"/>
          <w:lang w:val="en-GB"/>
        </w:rPr>
        <w:t>too high</w:t>
      </w:r>
      <w:r>
        <w:rPr>
          <w:rFonts w:ascii="Times New Roman" w:hAnsi="Times New Roman" w:cs="Times New Roman"/>
          <w:sz w:val="24"/>
          <w:szCs w:val="24"/>
          <w:lang w:val="en-GB"/>
        </w:rPr>
        <w:t xml:space="preserve">, the </w:t>
      </w:r>
      <w:r w:rsidR="00623D0C">
        <w:rPr>
          <w:rFonts w:ascii="Times New Roman" w:hAnsi="Times New Roman" w:cs="Times New Roman"/>
          <w:sz w:val="24"/>
          <w:szCs w:val="24"/>
          <w:lang w:val="en-GB"/>
        </w:rPr>
        <w:t>g</w:t>
      </w:r>
      <w:r w:rsidR="00654B2E">
        <w:rPr>
          <w:rFonts w:ascii="Times New Roman" w:hAnsi="Times New Roman" w:cs="Times New Roman"/>
          <w:sz w:val="24"/>
          <w:szCs w:val="24"/>
          <w:lang w:val="en-GB"/>
        </w:rPr>
        <w:t xml:space="preserve">overnment </w:t>
      </w:r>
      <w:r w:rsidR="008A55CA">
        <w:rPr>
          <w:rFonts w:ascii="Times New Roman" w:hAnsi="Times New Roman" w:cs="Times New Roman"/>
          <w:sz w:val="24"/>
          <w:szCs w:val="24"/>
          <w:lang w:val="en-GB"/>
        </w:rPr>
        <w:t xml:space="preserve">in 1996 urged </w:t>
      </w:r>
      <w:r w:rsidR="007F31F0">
        <w:rPr>
          <w:rFonts w:ascii="Times New Roman" w:hAnsi="Times New Roman" w:cs="Times New Roman"/>
          <w:sz w:val="24"/>
          <w:szCs w:val="24"/>
          <w:lang w:val="en-GB"/>
        </w:rPr>
        <w:t>the labour market parties to reform</w:t>
      </w:r>
      <w:r w:rsidR="00C212E0">
        <w:rPr>
          <w:rFonts w:ascii="Times New Roman" w:hAnsi="Times New Roman" w:cs="Times New Roman"/>
          <w:sz w:val="24"/>
          <w:szCs w:val="24"/>
          <w:lang w:val="en-GB"/>
        </w:rPr>
        <w:t xml:space="preserve"> the bargaining system.</w:t>
      </w:r>
      <w:r w:rsidR="0071761A">
        <w:rPr>
          <w:rFonts w:ascii="Times New Roman" w:hAnsi="Times New Roman" w:cs="Times New Roman"/>
          <w:sz w:val="24"/>
          <w:szCs w:val="24"/>
          <w:lang w:val="en-GB"/>
        </w:rPr>
        <w:t xml:space="preserve"> </w:t>
      </w:r>
      <w:r w:rsidR="00C80C46">
        <w:rPr>
          <w:rFonts w:ascii="Times New Roman" w:hAnsi="Times New Roman" w:cs="Times New Roman"/>
          <w:sz w:val="24"/>
          <w:szCs w:val="24"/>
          <w:lang w:val="en-GB"/>
        </w:rPr>
        <w:t xml:space="preserve">When peak organisations failed to </w:t>
      </w:r>
      <w:r w:rsidR="00BB1F3F">
        <w:rPr>
          <w:rFonts w:ascii="Times New Roman" w:hAnsi="Times New Roman" w:cs="Times New Roman"/>
          <w:sz w:val="24"/>
          <w:szCs w:val="24"/>
          <w:lang w:val="en-GB"/>
        </w:rPr>
        <w:t>do</w:t>
      </w:r>
      <w:r w:rsidR="00204B96">
        <w:rPr>
          <w:rFonts w:ascii="Times New Roman" w:hAnsi="Times New Roman" w:cs="Times New Roman"/>
          <w:sz w:val="24"/>
          <w:szCs w:val="24"/>
          <w:lang w:val="en-GB"/>
        </w:rPr>
        <w:t xml:space="preserve"> this</w:t>
      </w:r>
      <w:r w:rsidR="00A60878">
        <w:rPr>
          <w:rFonts w:ascii="Times New Roman" w:hAnsi="Times New Roman" w:cs="Times New Roman"/>
          <w:sz w:val="24"/>
          <w:szCs w:val="24"/>
          <w:lang w:val="en-GB"/>
        </w:rPr>
        <w:t xml:space="preserve">, </w:t>
      </w:r>
      <w:r w:rsidR="00886141">
        <w:rPr>
          <w:rFonts w:ascii="Times New Roman" w:hAnsi="Times New Roman" w:cs="Times New Roman"/>
          <w:sz w:val="24"/>
          <w:szCs w:val="24"/>
          <w:lang w:val="en-GB"/>
        </w:rPr>
        <w:t xml:space="preserve">manufacturing </w:t>
      </w:r>
      <w:r w:rsidR="00D32407">
        <w:rPr>
          <w:rFonts w:ascii="Times New Roman" w:hAnsi="Times New Roman" w:cs="Times New Roman"/>
          <w:sz w:val="24"/>
          <w:szCs w:val="24"/>
          <w:lang w:val="en-GB"/>
        </w:rPr>
        <w:t>trade unions proposed</w:t>
      </w:r>
      <w:r w:rsidR="0059463F">
        <w:rPr>
          <w:rFonts w:ascii="Times New Roman" w:hAnsi="Times New Roman" w:cs="Times New Roman"/>
          <w:sz w:val="24"/>
          <w:szCs w:val="24"/>
          <w:lang w:val="en-GB"/>
        </w:rPr>
        <w:t xml:space="preserve"> negotiations</w:t>
      </w:r>
      <w:r w:rsidR="00D32407">
        <w:rPr>
          <w:rFonts w:ascii="Times New Roman" w:hAnsi="Times New Roman" w:cs="Times New Roman"/>
          <w:sz w:val="24"/>
          <w:szCs w:val="24"/>
          <w:lang w:val="en-GB"/>
        </w:rPr>
        <w:t xml:space="preserve"> </w:t>
      </w:r>
      <w:r w:rsidR="00727195">
        <w:rPr>
          <w:rFonts w:ascii="Times New Roman" w:hAnsi="Times New Roman" w:cs="Times New Roman"/>
          <w:sz w:val="24"/>
          <w:szCs w:val="24"/>
          <w:lang w:val="en-GB"/>
        </w:rPr>
        <w:t>to their employer counterparts</w:t>
      </w:r>
      <w:r w:rsidR="0059463F">
        <w:rPr>
          <w:rFonts w:ascii="Times New Roman" w:hAnsi="Times New Roman" w:cs="Times New Roman"/>
          <w:sz w:val="24"/>
          <w:szCs w:val="24"/>
          <w:lang w:val="en-GB"/>
        </w:rPr>
        <w:t xml:space="preserve">. </w:t>
      </w:r>
      <w:r w:rsidR="00CF3C3B">
        <w:rPr>
          <w:rFonts w:ascii="Times New Roman" w:hAnsi="Times New Roman" w:cs="Times New Roman"/>
          <w:sz w:val="24"/>
          <w:szCs w:val="24"/>
          <w:lang w:val="en-GB"/>
        </w:rPr>
        <w:t>This</w:t>
      </w:r>
      <w:r w:rsidR="0059463F">
        <w:rPr>
          <w:rFonts w:ascii="Times New Roman" w:hAnsi="Times New Roman" w:cs="Times New Roman"/>
          <w:sz w:val="24"/>
          <w:szCs w:val="24"/>
          <w:lang w:val="en-GB"/>
        </w:rPr>
        <w:t xml:space="preserve"> </w:t>
      </w:r>
      <w:r w:rsidR="00041111">
        <w:rPr>
          <w:rFonts w:ascii="Times New Roman" w:hAnsi="Times New Roman" w:cs="Times New Roman"/>
          <w:sz w:val="24"/>
          <w:szCs w:val="24"/>
          <w:lang w:val="en-GB"/>
        </w:rPr>
        <w:t xml:space="preserve">resulted in the </w:t>
      </w:r>
      <w:r w:rsidR="00434D3D">
        <w:rPr>
          <w:rFonts w:ascii="Times New Roman" w:hAnsi="Times New Roman" w:cs="Times New Roman"/>
          <w:sz w:val="24"/>
          <w:szCs w:val="24"/>
          <w:lang w:val="en-GB"/>
        </w:rPr>
        <w:t>Industry Agreement (</w:t>
      </w:r>
      <w:r w:rsidR="00434D3D">
        <w:rPr>
          <w:rFonts w:ascii="Times New Roman" w:hAnsi="Times New Roman" w:cs="Times New Roman"/>
          <w:i/>
          <w:iCs/>
          <w:sz w:val="24"/>
          <w:szCs w:val="24"/>
          <w:lang w:val="en-GB"/>
        </w:rPr>
        <w:t xml:space="preserve">Industriavtalet) </w:t>
      </w:r>
      <w:r w:rsidR="007B288F">
        <w:rPr>
          <w:rFonts w:ascii="Times New Roman" w:hAnsi="Times New Roman" w:cs="Times New Roman"/>
          <w:sz w:val="24"/>
          <w:szCs w:val="24"/>
          <w:lang w:val="en-GB"/>
        </w:rPr>
        <w:t>in 1997</w:t>
      </w:r>
      <w:r w:rsidR="000F69F3">
        <w:rPr>
          <w:rFonts w:ascii="Times New Roman" w:hAnsi="Times New Roman" w:cs="Times New Roman"/>
          <w:sz w:val="24"/>
          <w:szCs w:val="24"/>
          <w:lang w:val="en-GB"/>
        </w:rPr>
        <w:t xml:space="preserve">, which </w:t>
      </w:r>
      <w:r w:rsidR="00D60E43">
        <w:rPr>
          <w:rFonts w:ascii="Times New Roman" w:hAnsi="Times New Roman" w:cs="Times New Roman"/>
          <w:sz w:val="24"/>
          <w:szCs w:val="24"/>
          <w:lang w:val="en-GB"/>
        </w:rPr>
        <w:t xml:space="preserve">– in revised form – </w:t>
      </w:r>
      <w:r w:rsidR="00784865">
        <w:rPr>
          <w:rFonts w:ascii="Times New Roman" w:hAnsi="Times New Roman" w:cs="Times New Roman"/>
          <w:sz w:val="24"/>
          <w:szCs w:val="24"/>
          <w:lang w:val="en-GB"/>
        </w:rPr>
        <w:t>still forms the basis for</w:t>
      </w:r>
      <w:r w:rsidR="00A65E39">
        <w:rPr>
          <w:rFonts w:ascii="Times New Roman" w:hAnsi="Times New Roman" w:cs="Times New Roman"/>
          <w:sz w:val="24"/>
          <w:szCs w:val="24"/>
          <w:lang w:val="en-GB"/>
        </w:rPr>
        <w:t xml:space="preserve"> </w:t>
      </w:r>
      <w:r w:rsidR="00784865">
        <w:rPr>
          <w:rFonts w:ascii="Times New Roman" w:hAnsi="Times New Roman" w:cs="Times New Roman"/>
          <w:sz w:val="24"/>
          <w:szCs w:val="24"/>
          <w:lang w:val="en-GB"/>
        </w:rPr>
        <w:t xml:space="preserve">wage </w:t>
      </w:r>
      <w:r w:rsidR="00D60E43">
        <w:rPr>
          <w:rFonts w:ascii="Times New Roman" w:hAnsi="Times New Roman" w:cs="Times New Roman"/>
          <w:sz w:val="24"/>
          <w:szCs w:val="24"/>
          <w:lang w:val="en-GB"/>
        </w:rPr>
        <w:t>bargaining</w:t>
      </w:r>
      <w:r w:rsidR="00E14041">
        <w:rPr>
          <w:rFonts w:ascii="Times New Roman" w:hAnsi="Times New Roman" w:cs="Times New Roman"/>
          <w:sz w:val="24"/>
          <w:szCs w:val="24"/>
          <w:lang w:val="en-GB"/>
        </w:rPr>
        <w:t>.</w:t>
      </w:r>
      <w:r w:rsidR="00023202">
        <w:rPr>
          <w:rStyle w:val="FootnoteReference"/>
          <w:rFonts w:ascii="Times New Roman" w:hAnsi="Times New Roman" w:cs="Times New Roman"/>
          <w:sz w:val="24"/>
          <w:szCs w:val="24"/>
          <w:lang w:val="en-GB"/>
        </w:rPr>
        <w:footnoteReference w:id="4"/>
      </w:r>
      <w:r w:rsidR="006C34FF">
        <w:rPr>
          <w:rFonts w:ascii="Times New Roman" w:hAnsi="Times New Roman" w:cs="Times New Roman"/>
          <w:sz w:val="24"/>
          <w:szCs w:val="24"/>
          <w:lang w:val="en-GB"/>
        </w:rPr>
        <w:t xml:space="preserve"> </w:t>
      </w:r>
    </w:p>
    <w:p w14:paraId="3EBED5C1" w14:textId="04F353E1" w:rsidR="00435937" w:rsidRDefault="00435937" w:rsidP="00D42B2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Industry Ag</w:t>
      </w:r>
      <w:r w:rsidR="00AB15FF">
        <w:rPr>
          <w:rFonts w:ascii="Times New Roman" w:hAnsi="Times New Roman" w:cs="Times New Roman"/>
          <w:sz w:val="24"/>
          <w:szCs w:val="24"/>
          <w:lang w:val="en-GB"/>
        </w:rPr>
        <w:t xml:space="preserve">reement </w:t>
      </w:r>
      <w:r w:rsidR="00CA5500">
        <w:rPr>
          <w:rFonts w:ascii="Times New Roman" w:hAnsi="Times New Roman" w:cs="Times New Roman"/>
          <w:sz w:val="24"/>
          <w:szCs w:val="24"/>
          <w:lang w:val="en-GB"/>
        </w:rPr>
        <w:t xml:space="preserve">emphasises the </w:t>
      </w:r>
      <w:r w:rsidR="00BC41D3">
        <w:rPr>
          <w:rFonts w:ascii="Times New Roman" w:hAnsi="Times New Roman" w:cs="Times New Roman"/>
          <w:sz w:val="24"/>
          <w:szCs w:val="24"/>
          <w:lang w:val="en-GB"/>
        </w:rPr>
        <w:t xml:space="preserve">importance of </w:t>
      </w:r>
      <w:r w:rsidR="006D0897">
        <w:rPr>
          <w:rFonts w:ascii="Times New Roman" w:hAnsi="Times New Roman" w:cs="Times New Roman"/>
          <w:sz w:val="24"/>
          <w:szCs w:val="24"/>
          <w:lang w:val="en-GB"/>
        </w:rPr>
        <w:t>ma</w:t>
      </w:r>
      <w:r w:rsidR="006C5F24">
        <w:rPr>
          <w:rFonts w:ascii="Times New Roman" w:hAnsi="Times New Roman" w:cs="Times New Roman"/>
          <w:sz w:val="24"/>
          <w:szCs w:val="24"/>
          <w:lang w:val="en-GB"/>
        </w:rPr>
        <w:t>i</w:t>
      </w:r>
      <w:r w:rsidR="006D0897">
        <w:rPr>
          <w:rFonts w:ascii="Times New Roman" w:hAnsi="Times New Roman" w:cs="Times New Roman"/>
          <w:sz w:val="24"/>
          <w:szCs w:val="24"/>
          <w:lang w:val="en-GB"/>
        </w:rPr>
        <w:t>ntaining</w:t>
      </w:r>
      <w:r w:rsidR="00BC41D3">
        <w:rPr>
          <w:rFonts w:ascii="Times New Roman" w:hAnsi="Times New Roman" w:cs="Times New Roman"/>
          <w:sz w:val="24"/>
          <w:szCs w:val="24"/>
          <w:lang w:val="en-GB"/>
        </w:rPr>
        <w:t xml:space="preserve"> the manufacturing sector</w:t>
      </w:r>
      <w:r w:rsidR="00B7109B">
        <w:rPr>
          <w:rFonts w:ascii="Times New Roman" w:hAnsi="Times New Roman" w:cs="Times New Roman"/>
          <w:sz w:val="24"/>
          <w:szCs w:val="24"/>
          <w:lang w:val="en-GB"/>
        </w:rPr>
        <w:t xml:space="preserve">’s international competitiveness and </w:t>
      </w:r>
      <w:r w:rsidR="002E77B9">
        <w:rPr>
          <w:rFonts w:ascii="Times New Roman" w:hAnsi="Times New Roman" w:cs="Times New Roman"/>
          <w:sz w:val="24"/>
          <w:szCs w:val="24"/>
          <w:lang w:val="en-GB"/>
        </w:rPr>
        <w:t>stipulates that the</w:t>
      </w:r>
      <w:r w:rsidR="006D0897">
        <w:rPr>
          <w:rFonts w:ascii="Times New Roman" w:hAnsi="Times New Roman" w:cs="Times New Roman"/>
          <w:sz w:val="24"/>
          <w:szCs w:val="24"/>
          <w:lang w:val="en-GB"/>
        </w:rPr>
        <w:t xml:space="preserve"> signing</w:t>
      </w:r>
      <w:r w:rsidR="002E77B9">
        <w:rPr>
          <w:rFonts w:ascii="Times New Roman" w:hAnsi="Times New Roman" w:cs="Times New Roman"/>
          <w:sz w:val="24"/>
          <w:szCs w:val="24"/>
          <w:lang w:val="en-GB"/>
        </w:rPr>
        <w:t xml:space="preserve"> parties </w:t>
      </w:r>
      <w:r w:rsidR="00AE4C0C">
        <w:rPr>
          <w:rFonts w:ascii="Times New Roman" w:hAnsi="Times New Roman" w:cs="Times New Roman"/>
          <w:sz w:val="24"/>
          <w:szCs w:val="24"/>
          <w:lang w:val="en-GB"/>
        </w:rPr>
        <w:t xml:space="preserve">shall </w:t>
      </w:r>
      <w:r w:rsidR="009A4B00">
        <w:rPr>
          <w:rFonts w:ascii="Times New Roman" w:hAnsi="Times New Roman" w:cs="Times New Roman"/>
          <w:sz w:val="24"/>
          <w:szCs w:val="24"/>
          <w:lang w:val="en-GB"/>
        </w:rPr>
        <w:t xml:space="preserve">work for </w:t>
      </w:r>
      <w:r w:rsidR="005921D2">
        <w:rPr>
          <w:rFonts w:ascii="Times New Roman" w:hAnsi="Times New Roman" w:cs="Times New Roman"/>
          <w:sz w:val="24"/>
          <w:szCs w:val="24"/>
          <w:lang w:val="en-GB"/>
        </w:rPr>
        <w:t xml:space="preserve">the establishment </w:t>
      </w:r>
      <w:r w:rsidR="00CC7658">
        <w:rPr>
          <w:rFonts w:ascii="Times New Roman" w:hAnsi="Times New Roman" w:cs="Times New Roman"/>
          <w:sz w:val="24"/>
          <w:szCs w:val="24"/>
          <w:lang w:val="en-GB"/>
        </w:rPr>
        <w:t>of the wage increases in manufacturing as a norm</w:t>
      </w:r>
      <w:r w:rsidR="00434D3D">
        <w:rPr>
          <w:rFonts w:ascii="Times New Roman" w:hAnsi="Times New Roman" w:cs="Times New Roman"/>
          <w:sz w:val="24"/>
          <w:szCs w:val="24"/>
          <w:lang w:val="en-GB"/>
        </w:rPr>
        <w:t xml:space="preserve"> </w:t>
      </w:r>
      <w:r w:rsidR="009A5BBD">
        <w:rPr>
          <w:rFonts w:ascii="Times New Roman" w:hAnsi="Times New Roman" w:cs="Times New Roman"/>
          <w:sz w:val="24"/>
          <w:szCs w:val="24"/>
          <w:lang w:val="en-GB"/>
        </w:rPr>
        <w:t xml:space="preserve">for wage increases also </w:t>
      </w:r>
      <w:r w:rsidR="00612A63">
        <w:rPr>
          <w:rFonts w:ascii="Times New Roman" w:hAnsi="Times New Roman" w:cs="Times New Roman"/>
          <w:sz w:val="24"/>
          <w:szCs w:val="24"/>
          <w:lang w:val="en-GB"/>
        </w:rPr>
        <w:t>elsew</w:t>
      </w:r>
      <w:r w:rsidR="008D174A">
        <w:rPr>
          <w:rFonts w:ascii="Times New Roman" w:hAnsi="Times New Roman" w:cs="Times New Roman"/>
          <w:sz w:val="24"/>
          <w:szCs w:val="24"/>
          <w:lang w:val="en-GB"/>
        </w:rPr>
        <w:t>her</w:t>
      </w:r>
      <w:r w:rsidR="00612A63">
        <w:rPr>
          <w:rFonts w:ascii="Times New Roman" w:hAnsi="Times New Roman" w:cs="Times New Roman"/>
          <w:sz w:val="24"/>
          <w:szCs w:val="24"/>
          <w:lang w:val="en-GB"/>
        </w:rPr>
        <w:t>e</w:t>
      </w:r>
      <w:r w:rsidR="009A5BBD">
        <w:rPr>
          <w:rFonts w:ascii="Times New Roman" w:hAnsi="Times New Roman" w:cs="Times New Roman"/>
          <w:sz w:val="24"/>
          <w:szCs w:val="24"/>
          <w:lang w:val="en-GB"/>
        </w:rPr>
        <w:t xml:space="preserve">. </w:t>
      </w:r>
      <w:r w:rsidR="00E339F4">
        <w:rPr>
          <w:rFonts w:ascii="Times New Roman" w:hAnsi="Times New Roman" w:cs="Times New Roman"/>
          <w:sz w:val="24"/>
          <w:szCs w:val="24"/>
          <w:lang w:val="en-GB"/>
        </w:rPr>
        <w:t xml:space="preserve">In line with this, </w:t>
      </w:r>
      <w:r w:rsidR="00C55198">
        <w:rPr>
          <w:rFonts w:ascii="Times New Roman" w:hAnsi="Times New Roman" w:cs="Times New Roman"/>
          <w:sz w:val="24"/>
          <w:szCs w:val="24"/>
          <w:lang w:val="en-GB"/>
        </w:rPr>
        <w:t>the manufacturing sector regularly con</w:t>
      </w:r>
      <w:r w:rsidR="00195801">
        <w:rPr>
          <w:rFonts w:ascii="Times New Roman" w:hAnsi="Times New Roman" w:cs="Times New Roman"/>
          <w:sz w:val="24"/>
          <w:szCs w:val="24"/>
          <w:lang w:val="en-GB"/>
        </w:rPr>
        <w:t xml:space="preserve">cludes the first agreement in </w:t>
      </w:r>
      <w:r w:rsidR="00037C3D">
        <w:rPr>
          <w:rFonts w:ascii="Times New Roman" w:hAnsi="Times New Roman" w:cs="Times New Roman"/>
          <w:sz w:val="24"/>
          <w:szCs w:val="24"/>
          <w:lang w:val="en-GB"/>
        </w:rPr>
        <w:t>a</w:t>
      </w:r>
      <w:r w:rsidR="00195801">
        <w:rPr>
          <w:rFonts w:ascii="Times New Roman" w:hAnsi="Times New Roman" w:cs="Times New Roman"/>
          <w:sz w:val="24"/>
          <w:szCs w:val="24"/>
          <w:lang w:val="en-GB"/>
        </w:rPr>
        <w:t xml:space="preserve"> bargaining </w:t>
      </w:r>
      <w:r w:rsidR="008B176A">
        <w:rPr>
          <w:rFonts w:ascii="Times New Roman" w:hAnsi="Times New Roman" w:cs="Times New Roman"/>
          <w:sz w:val="24"/>
          <w:szCs w:val="24"/>
          <w:lang w:val="en-GB"/>
        </w:rPr>
        <w:t>round and the wage inc</w:t>
      </w:r>
      <w:r w:rsidR="00246113">
        <w:rPr>
          <w:rFonts w:ascii="Times New Roman" w:hAnsi="Times New Roman" w:cs="Times New Roman"/>
          <w:sz w:val="24"/>
          <w:szCs w:val="24"/>
          <w:lang w:val="en-GB"/>
        </w:rPr>
        <w:t>reases in it</w:t>
      </w:r>
      <w:r w:rsidR="004657A5">
        <w:rPr>
          <w:rFonts w:ascii="Times New Roman" w:hAnsi="Times New Roman" w:cs="Times New Roman"/>
          <w:sz w:val="24"/>
          <w:szCs w:val="24"/>
          <w:lang w:val="en-GB"/>
        </w:rPr>
        <w:t xml:space="preserve"> </w:t>
      </w:r>
      <w:r w:rsidR="006B2514">
        <w:rPr>
          <w:rFonts w:ascii="Times New Roman" w:hAnsi="Times New Roman" w:cs="Times New Roman"/>
          <w:sz w:val="24"/>
          <w:szCs w:val="24"/>
          <w:lang w:val="en-GB"/>
        </w:rPr>
        <w:t>(</w:t>
      </w:r>
      <w:r w:rsidR="006B2514">
        <w:rPr>
          <w:rFonts w:ascii="Times New Roman" w:hAnsi="Times New Roman" w:cs="Times New Roman"/>
          <w:i/>
          <w:iCs/>
          <w:sz w:val="24"/>
          <w:szCs w:val="24"/>
          <w:lang w:val="en-GB"/>
        </w:rPr>
        <w:t>m</w:t>
      </w:r>
      <w:r w:rsidR="0060188D">
        <w:rPr>
          <w:rFonts w:ascii="Times New Roman" w:hAnsi="Times New Roman" w:cs="Times New Roman"/>
          <w:i/>
          <w:iCs/>
          <w:sz w:val="24"/>
          <w:szCs w:val="24"/>
          <w:lang w:val="en-GB"/>
        </w:rPr>
        <w:t>ä</w:t>
      </w:r>
      <w:r w:rsidR="006B2514">
        <w:rPr>
          <w:rFonts w:ascii="Times New Roman" w:hAnsi="Times New Roman" w:cs="Times New Roman"/>
          <w:i/>
          <w:iCs/>
          <w:sz w:val="24"/>
          <w:szCs w:val="24"/>
          <w:lang w:val="en-GB"/>
        </w:rPr>
        <w:t>rket</w:t>
      </w:r>
      <w:r w:rsidR="006B2514">
        <w:rPr>
          <w:rFonts w:ascii="Times New Roman" w:hAnsi="Times New Roman" w:cs="Times New Roman"/>
          <w:sz w:val="24"/>
          <w:szCs w:val="24"/>
          <w:lang w:val="en-GB"/>
        </w:rPr>
        <w:t>)</w:t>
      </w:r>
      <w:r w:rsidR="00246113">
        <w:rPr>
          <w:rFonts w:ascii="Times New Roman" w:hAnsi="Times New Roman" w:cs="Times New Roman"/>
          <w:sz w:val="24"/>
          <w:szCs w:val="24"/>
          <w:lang w:val="en-GB"/>
        </w:rPr>
        <w:t xml:space="preserve"> are followed in subsequent agreements.</w:t>
      </w:r>
    </w:p>
    <w:p w14:paraId="70681BEB" w14:textId="40AA28E4" w:rsidR="003F74AA" w:rsidRDefault="003F74AA" w:rsidP="00D42B2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norm-setting role of </w:t>
      </w:r>
      <w:r w:rsidR="007842A9">
        <w:rPr>
          <w:rFonts w:ascii="Times New Roman" w:hAnsi="Times New Roman" w:cs="Times New Roman"/>
          <w:sz w:val="24"/>
          <w:szCs w:val="24"/>
          <w:lang w:val="en-GB"/>
        </w:rPr>
        <w:t xml:space="preserve">manufacturing </w:t>
      </w:r>
      <w:r w:rsidR="00037C3D">
        <w:rPr>
          <w:rFonts w:ascii="Times New Roman" w:hAnsi="Times New Roman" w:cs="Times New Roman"/>
          <w:sz w:val="24"/>
          <w:szCs w:val="24"/>
          <w:lang w:val="en-GB"/>
        </w:rPr>
        <w:t>is</w:t>
      </w:r>
      <w:r w:rsidR="007842A9">
        <w:rPr>
          <w:rFonts w:ascii="Times New Roman" w:hAnsi="Times New Roman" w:cs="Times New Roman"/>
          <w:sz w:val="24"/>
          <w:szCs w:val="24"/>
          <w:lang w:val="en-GB"/>
        </w:rPr>
        <w:t xml:space="preserve"> upheld through several mechanism</w:t>
      </w:r>
      <w:r w:rsidR="00E44EDB">
        <w:rPr>
          <w:rFonts w:ascii="Times New Roman" w:hAnsi="Times New Roman" w:cs="Times New Roman"/>
          <w:sz w:val="24"/>
          <w:szCs w:val="24"/>
          <w:lang w:val="en-GB"/>
        </w:rPr>
        <w:t>s</w:t>
      </w:r>
      <w:r w:rsidR="000B66C2">
        <w:rPr>
          <w:rFonts w:ascii="Times New Roman" w:hAnsi="Times New Roman" w:cs="Times New Roman"/>
          <w:sz w:val="24"/>
          <w:szCs w:val="24"/>
          <w:lang w:val="en-GB"/>
        </w:rPr>
        <w:t xml:space="preserve">. The strongest one is coordination </w:t>
      </w:r>
      <w:r w:rsidR="00096E19">
        <w:rPr>
          <w:rFonts w:ascii="Times New Roman" w:hAnsi="Times New Roman" w:cs="Times New Roman"/>
          <w:sz w:val="24"/>
          <w:szCs w:val="24"/>
          <w:lang w:val="en-GB"/>
        </w:rPr>
        <w:t xml:space="preserve">within </w:t>
      </w:r>
      <w:r w:rsidR="00B960C8">
        <w:rPr>
          <w:rFonts w:ascii="Times New Roman" w:hAnsi="Times New Roman" w:cs="Times New Roman"/>
          <w:sz w:val="24"/>
          <w:szCs w:val="24"/>
          <w:lang w:val="en-GB"/>
        </w:rPr>
        <w:t>the Confederation of Swedish Enterprise (</w:t>
      </w:r>
      <w:r w:rsidR="00B960C8">
        <w:rPr>
          <w:rFonts w:ascii="Times New Roman" w:hAnsi="Times New Roman" w:cs="Times New Roman"/>
          <w:i/>
          <w:iCs/>
          <w:sz w:val="24"/>
          <w:szCs w:val="24"/>
          <w:lang w:val="en-GB"/>
        </w:rPr>
        <w:t>Svenskt Näringsliv</w:t>
      </w:r>
      <w:r w:rsidR="00573D7D">
        <w:rPr>
          <w:rFonts w:ascii="Times New Roman" w:hAnsi="Times New Roman" w:cs="Times New Roman"/>
          <w:sz w:val="24"/>
          <w:szCs w:val="24"/>
          <w:lang w:val="en-GB"/>
        </w:rPr>
        <w:t xml:space="preserve">), the peak organisation </w:t>
      </w:r>
      <w:r w:rsidR="00931312">
        <w:rPr>
          <w:rFonts w:ascii="Times New Roman" w:hAnsi="Times New Roman" w:cs="Times New Roman"/>
          <w:sz w:val="24"/>
          <w:szCs w:val="24"/>
          <w:lang w:val="en-GB"/>
        </w:rPr>
        <w:t>of private employers.</w:t>
      </w:r>
      <w:r w:rsidR="00581333">
        <w:rPr>
          <w:rStyle w:val="FootnoteReference"/>
          <w:rFonts w:ascii="Times New Roman" w:hAnsi="Times New Roman" w:cs="Times New Roman"/>
          <w:sz w:val="24"/>
          <w:szCs w:val="24"/>
          <w:lang w:val="en-GB"/>
        </w:rPr>
        <w:footnoteReference w:id="5"/>
      </w:r>
      <w:r w:rsidR="006E109B">
        <w:rPr>
          <w:rFonts w:ascii="Times New Roman" w:hAnsi="Times New Roman" w:cs="Times New Roman"/>
          <w:sz w:val="24"/>
          <w:szCs w:val="24"/>
          <w:lang w:val="en-GB"/>
        </w:rPr>
        <w:t xml:space="preserve"> </w:t>
      </w:r>
      <w:r w:rsidR="00EE28E3">
        <w:rPr>
          <w:rFonts w:ascii="Times New Roman" w:hAnsi="Times New Roman" w:cs="Times New Roman"/>
          <w:sz w:val="24"/>
          <w:szCs w:val="24"/>
          <w:lang w:val="en-GB"/>
        </w:rPr>
        <w:t>Hig</w:t>
      </w:r>
      <w:r w:rsidR="008D174A">
        <w:rPr>
          <w:rFonts w:ascii="Times New Roman" w:hAnsi="Times New Roman" w:cs="Times New Roman"/>
          <w:sz w:val="24"/>
          <w:szCs w:val="24"/>
          <w:lang w:val="en-GB"/>
        </w:rPr>
        <w:t>her</w:t>
      </w:r>
      <w:r w:rsidR="00406999">
        <w:rPr>
          <w:rFonts w:ascii="Times New Roman" w:hAnsi="Times New Roman" w:cs="Times New Roman"/>
          <w:sz w:val="24"/>
          <w:szCs w:val="24"/>
          <w:lang w:val="en-GB"/>
        </w:rPr>
        <w:t xml:space="preserve"> wage rises than the manufacturing norm </w:t>
      </w:r>
      <w:r w:rsidR="000567B9">
        <w:rPr>
          <w:rFonts w:ascii="Times New Roman" w:hAnsi="Times New Roman" w:cs="Times New Roman"/>
          <w:sz w:val="24"/>
          <w:szCs w:val="24"/>
          <w:lang w:val="en-GB"/>
        </w:rPr>
        <w:t xml:space="preserve">must be approved by a special committee. </w:t>
      </w:r>
      <w:r w:rsidR="00A24E66">
        <w:rPr>
          <w:rFonts w:ascii="Times New Roman" w:hAnsi="Times New Roman" w:cs="Times New Roman"/>
          <w:sz w:val="24"/>
          <w:szCs w:val="24"/>
          <w:lang w:val="en-GB"/>
        </w:rPr>
        <w:t>Wage</w:t>
      </w:r>
      <w:r w:rsidR="00527A7A">
        <w:rPr>
          <w:rFonts w:ascii="Times New Roman" w:hAnsi="Times New Roman" w:cs="Times New Roman"/>
          <w:sz w:val="24"/>
          <w:szCs w:val="24"/>
          <w:lang w:val="en-GB"/>
        </w:rPr>
        <w:t xml:space="preserve"> demands are </w:t>
      </w:r>
      <w:r w:rsidR="00A24E66">
        <w:rPr>
          <w:rFonts w:ascii="Times New Roman" w:hAnsi="Times New Roman" w:cs="Times New Roman"/>
          <w:sz w:val="24"/>
          <w:szCs w:val="24"/>
          <w:lang w:val="en-GB"/>
        </w:rPr>
        <w:t>usually</w:t>
      </w:r>
      <w:r w:rsidR="00527A7A">
        <w:rPr>
          <w:rFonts w:ascii="Times New Roman" w:hAnsi="Times New Roman" w:cs="Times New Roman"/>
          <w:sz w:val="24"/>
          <w:szCs w:val="24"/>
          <w:lang w:val="en-GB"/>
        </w:rPr>
        <w:t xml:space="preserve"> coordinated within</w:t>
      </w:r>
      <w:r w:rsidR="00934E03">
        <w:rPr>
          <w:rFonts w:ascii="Times New Roman" w:hAnsi="Times New Roman" w:cs="Times New Roman"/>
          <w:sz w:val="24"/>
          <w:szCs w:val="24"/>
          <w:lang w:val="en-GB"/>
        </w:rPr>
        <w:t xml:space="preserve"> the Swedish Confederation of Trade Unions (</w:t>
      </w:r>
      <w:r w:rsidR="00934E03">
        <w:rPr>
          <w:rFonts w:ascii="Times New Roman" w:hAnsi="Times New Roman" w:cs="Times New Roman"/>
          <w:i/>
          <w:iCs/>
          <w:sz w:val="24"/>
          <w:szCs w:val="24"/>
          <w:lang w:val="en-GB"/>
        </w:rPr>
        <w:t>LO</w:t>
      </w:r>
      <w:r w:rsidR="00934E03">
        <w:rPr>
          <w:rFonts w:ascii="Times New Roman" w:hAnsi="Times New Roman" w:cs="Times New Roman"/>
          <w:sz w:val="24"/>
          <w:szCs w:val="24"/>
          <w:lang w:val="en-GB"/>
        </w:rPr>
        <w:t xml:space="preserve">), the peak organisation for </w:t>
      </w:r>
      <w:r w:rsidR="00D856C1">
        <w:rPr>
          <w:rFonts w:ascii="Times New Roman" w:hAnsi="Times New Roman" w:cs="Times New Roman"/>
          <w:sz w:val="24"/>
          <w:szCs w:val="24"/>
          <w:lang w:val="en-GB"/>
        </w:rPr>
        <w:t xml:space="preserve">blue-collar workers. In the </w:t>
      </w:r>
      <w:r w:rsidR="00AB216D">
        <w:rPr>
          <w:rFonts w:ascii="Times New Roman" w:hAnsi="Times New Roman" w:cs="Times New Roman"/>
          <w:sz w:val="24"/>
          <w:szCs w:val="24"/>
          <w:lang w:val="en-GB"/>
        </w:rPr>
        <w:t>public sector, t</w:t>
      </w:r>
      <w:r w:rsidR="008D174A">
        <w:rPr>
          <w:rFonts w:ascii="Times New Roman" w:hAnsi="Times New Roman" w:cs="Times New Roman"/>
          <w:sz w:val="24"/>
          <w:szCs w:val="24"/>
          <w:lang w:val="en-GB"/>
        </w:rPr>
        <w:t>her</w:t>
      </w:r>
      <w:r w:rsidR="00AB216D">
        <w:rPr>
          <w:rFonts w:ascii="Times New Roman" w:hAnsi="Times New Roman" w:cs="Times New Roman"/>
          <w:sz w:val="24"/>
          <w:szCs w:val="24"/>
          <w:lang w:val="en-GB"/>
        </w:rPr>
        <w:t xml:space="preserve">e are framework negotiation agreements </w:t>
      </w:r>
      <w:r w:rsidR="007E17FF">
        <w:rPr>
          <w:rFonts w:ascii="Times New Roman" w:hAnsi="Times New Roman" w:cs="Times New Roman"/>
          <w:sz w:val="24"/>
          <w:szCs w:val="24"/>
          <w:lang w:val="en-GB"/>
        </w:rPr>
        <w:t xml:space="preserve">which acknowledge the norm-setting role of the </w:t>
      </w:r>
      <w:r w:rsidR="00FE340C">
        <w:rPr>
          <w:rFonts w:ascii="Times New Roman" w:hAnsi="Times New Roman" w:cs="Times New Roman"/>
          <w:sz w:val="24"/>
          <w:szCs w:val="24"/>
          <w:lang w:val="en-GB"/>
        </w:rPr>
        <w:t>tradables sector.</w:t>
      </w:r>
    </w:p>
    <w:p w14:paraId="7C5E775A" w14:textId="07597752" w:rsidR="00BF193A" w:rsidRDefault="00BF193A" w:rsidP="00D42B2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w:t>
      </w:r>
      <w:r w:rsidR="00E37EF7">
        <w:rPr>
          <w:rFonts w:ascii="Times New Roman" w:hAnsi="Times New Roman" w:cs="Times New Roman"/>
          <w:sz w:val="24"/>
          <w:szCs w:val="24"/>
          <w:lang w:val="en-GB"/>
        </w:rPr>
        <w:t xml:space="preserve"> National</w:t>
      </w:r>
      <w:r>
        <w:rPr>
          <w:rFonts w:ascii="Times New Roman" w:hAnsi="Times New Roman" w:cs="Times New Roman"/>
          <w:sz w:val="24"/>
          <w:szCs w:val="24"/>
          <w:lang w:val="en-GB"/>
        </w:rPr>
        <w:t xml:space="preserve"> Mediation Office (</w:t>
      </w:r>
      <w:r>
        <w:rPr>
          <w:rFonts w:ascii="Times New Roman" w:hAnsi="Times New Roman" w:cs="Times New Roman"/>
          <w:i/>
          <w:iCs/>
          <w:sz w:val="24"/>
          <w:szCs w:val="24"/>
          <w:lang w:val="en-GB"/>
        </w:rPr>
        <w:t>Medlingsinstitutet</w:t>
      </w:r>
      <w:r>
        <w:rPr>
          <w:rFonts w:ascii="Times New Roman" w:hAnsi="Times New Roman" w:cs="Times New Roman"/>
          <w:sz w:val="24"/>
          <w:szCs w:val="24"/>
          <w:lang w:val="en-GB"/>
        </w:rPr>
        <w:t>)</w:t>
      </w:r>
      <w:r w:rsidR="00A74C66">
        <w:rPr>
          <w:rFonts w:ascii="Times New Roman" w:hAnsi="Times New Roman" w:cs="Times New Roman"/>
          <w:sz w:val="24"/>
          <w:szCs w:val="24"/>
          <w:lang w:val="en-GB"/>
        </w:rPr>
        <w:t xml:space="preserve"> </w:t>
      </w:r>
      <w:r w:rsidR="009E45AB">
        <w:rPr>
          <w:rFonts w:ascii="Times New Roman" w:hAnsi="Times New Roman" w:cs="Times New Roman"/>
          <w:sz w:val="24"/>
          <w:szCs w:val="24"/>
          <w:lang w:val="en-GB"/>
        </w:rPr>
        <w:t>helps</w:t>
      </w:r>
      <w:r w:rsidR="008E6D93">
        <w:rPr>
          <w:rFonts w:ascii="Times New Roman" w:hAnsi="Times New Roman" w:cs="Times New Roman"/>
          <w:sz w:val="24"/>
          <w:szCs w:val="24"/>
          <w:lang w:val="en-GB"/>
        </w:rPr>
        <w:t xml:space="preserve"> </w:t>
      </w:r>
      <w:r w:rsidR="009E45AB">
        <w:rPr>
          <w:rFonts w:ascii="Times New Roman" w:hAnsi="Times New Roman" w:cs="Times New Roman"/>
          <w:sz w:val="24"/>
          <w:szCs w:val="24"/>
          <w:lang w:val="en-GB"/>
        </w:rPr>
        <w:t>enforc</w:t>
      </w:r>
      <w:r w:rsidR="00BB1F3F">
        <w:rPr>
          <w:rFonts w:ascii="Times New Roman" w:hAnsi="Times New Roman" w:cs="Times New Roman"/>
          <w:sz w:val="24"/>
          <w:szCs w:val="24"/>
          <w:lang w:val="en-GB"/>
        </w:rPr>
        <w:t>e</w:t>
      </w:r>
      <w:r w:rsidR="0028105D">
        <w:rPr>
          <w:rFonts w:ascii="Times New Roman" w:hAnsi="Times New Roman" w:cs="Times New Roman"/>
          <w:sz w:val="24"/>
          <w:szCs w:val="24"/>
          <w:lang w:val="en-GB"/>
        </w:rPr>
        <w:t xml:space="preserve"> the wage norm. According to </w:t>
      </w:r>
      <w:r w:rsidR="00EA3E0C">
        <w:rPr>
          <w:rFonts w:ascii="Times New Roman" w:hAnsi="Times New Roman" w:cs="Times New Roman"/>
          <w:sz w:val="24"/>
          <w:szCs w:val="24"/>
          <w:lang w:val="en-GB"/>
        </w:rPr>
        <w:t>the office’s instruction</w:t>
      </w:r>
      <w:r w:rsidR="001A0A6F">
        <w:rPr>
          <w:rFonts w:ascii="Times New Roman" w:hAnsi="Times New Roman" w:cs="Times New Roman"/>
          <w:sz w:val="24"/>
          <w:szCs w:val="24"/>
          <w:lang w:val="en-GB"/>
        </w:rPr>
        <w:t>,</w:t>
      </w:r>
      <w:r w:rsidR="00075683">
        <w:rPr>
          <w:rFonts w:ascii="Times New Roman" w:hAnsi="Times New Roman" w:cs="Times New Roman"/>
          <w:sz w:val="24"/>
          <w:szCs w:val="24"/>
          <w:lang w:val="en-GB"/>
        </w:rPr>
        <w:t xml:space="preserve"> it </w:t>
      </w:r>
      <w:r w:rsidR="001109DF">
        <w:rPr>
          <w:rFonts w:ascii="Times New Roman" w:hAnsi="Times New Roman" w:cs="Times New Roman"/>
          <w:sz w:val="24"/>
          <w:szCs w:val="24"/>
          <w:lang w:val="en-GB"/>
        </w:rPr>
        <w:t xml:space="preserve">should strive to uphold the existing consensus </w:t>
      </w:r>
      <w:r w:rsidR="00237C54">
        <w:rPr>
          <w:rFonts w:ascii="Times New Roman" w:hAnsi="Times New Roman" w:cs="Times New Roman"/>
          <w:sz w:val="24"/>
          <w:szCs w:val="24"/>
          <w:lang w:val="en-GB"/>
        </w:rPr>
        <w:t xml:space="preserve">on the tradables sector’s </w:t>
      </w:r>
      <w:r w:rsidR="00237C54">
        <w:rPr>
          <w:rFonts w:ascii="Times New Roman" w:hAnsi="Times New Roman" w:cs="Times New Roman"/>
          <w:sz w:val="24"/>
          <w:szCs w:val="24"/>
          <w:lang w:val="en-GB"/>
        </w:rPr>
        <w:lastRenderedPageBreak/>
        <w:t xml:space="preserve">norm-setting role. </w:t>
      </w:r>
      <w:r w:rsidR="00833C75">
        <w:rPr>
          <w:rFonts w:ascii="Times New Roman" w:hAnsi="Times New Roman" w:cs="Times New Roman"/>
          <w:sz w:val="24"/>
          <w:szCs w:val="24"/>
          <w:lang w:val="en-GB"/>
        </w:rPr>
        <w:t>Therefore</w:t>
      </w:r>
      <w:r w:rsidR="00391DCB">
        <w:rPr>
          <w:rFonts w:ascii="Times New Roman" w:hAnsi="Times New Roman" w:cs="Times New Roman"/>
          <w:sz w:val="24"/>
          <w:szCs w:val="24"/>
          <w:lang w:val="en-GB"/>
        </w:rPr>
        <w:t>, me</w:t>
      </w:r>
      <w:r w:rsidR="00465A7F">
        <w:rPr>
          <w:rFonts w:ascii="Times New Roman" w:hAnsi="Times New Roman" w:cs="Times New Roman"/>
          <w:sz w:val="24"/>
          <w:szCs w:val="24"/>
          <w:lang w:val="en-GB"/>
        </w:rPr>
        <w:t xml:space="preserve">diation proposals never </w:t>
      </w:r>
      <w:r w:rsidR="0010162B">
        <w:rPr>
          <w:rFonts w:ascii="Times New Roman" w:hAnsi="Times New Roman" w:cs="Times New Roman"/>
          <w:sz w:val="24"/>
          <w:szCs w:val="24"/>
          <w:lang w:val="en-GB"/>
        </w:rPr>
        <w:t>co</w:t>
      </w:r>
      <w:r w:rsidR="00B862CA">
        <w:rPr>
          <w:rFonts w:ascii="Times New Roman" w:hAnsi="Times New Roman" w:cs="Times New Roman"/>
          <w:sz w:val="24"/>
          <w:szCs w:val="24"/>
          <w:lang w:val="en-GB"/>
        </w:rPr>
        <w:t>mprise wage</w:t>
      </w:r>
      <w:r w:rsidR="00161B26">
        <w:rPr>
          <w:rFonts w:ascii="Times New Roman" w:hAnsi="Times New Roman" w:cs="Times New Roman"/>
          <w:sz w:val="24"/>
          <w:szCs w:val="24"/>
          <w:lang w:val="en-GB"/>
        </w:rPr>
        <w:t xml:space="preserve"> cost</w:t>
      </w:r>
      <w:r w:rsidR="00B862CA">
        <w:rPr>
          <w:rFonts w:ascii="Times New Roman" w:hAnsi="Times New Roman" w:cs="Times New Roman"/>
          <w:sz w:val="24"/>
          <w:szCs w:val="24"/>
          <w:lang w:val="en-GB"/>
        </w:rPr>
        <w:t xml:space="preserve"> increases above the manufacturing </w:t>
      </w:r>
      <w:r w:rsidR="00161B26">
        <w:rPr>
          <w:rFonts w:ascii="Times New Roman" w:hAnsi="Times New Roman" w:cs="Times New Roman"/>
          <w:sz w:val="24"/>
          <w:szCs w:val="24"/>
          <w:lang w:val="en-GB"/>
        </w:rPr>
        <w:t xml:space="preserve">norm. </w:t>
      </w:r>
      <w:r w:rsidR="00DB7DFB">
        <w:rPr>
          <w:rFonts w:ascii="Times New Roman" w:hAnsi="Times New Roman" w:cs="Times New Roman"/>
          <w:sz w:val="24"/>
          <w:szCs w:val="24"/>
          <w:lang w:val="en-GB"/>
        </w:rPr>
        <w:t xml:space="preserve">The office’s role is, however, </w:t>
      </w:r>
      <w:r w:rsidR="005D25D2">
        <w:rPr>
          <w:rFonts w:ascii="Times New Roman" w:hAnsi="Times New Roman" w:cs="Times New Roman"/>
          <w:sz w:val="24"/>
          <w:szCs w:val="24"/>
          <w:lang w:val="en-GB"/>
        </w:rPr>
        <w:t>smaller</w:t>
      </w:r>
      <w:r w:rsidR="00327240">
        <w:rPr>
          <w:rFonts w:ascii="Times New Roman" w:hAnsi="Times New Roman" w:cs="Times New Roman"/>
          <w:sz w:val="24"/>
          <w:szCs w:val="24"/>
          <w:lang w:val="en-GB"/>
        </w:rPr>
        <w:t xml:space="preserve"> than in </w:t>
      </w:r>
      <w:r w:rsidR="00F91BAD">
        <w:rPr>
          <w:rFonts w:ascii="Times New Roman" w:hAnsi="Times New Roman" w:cs="Times New Roman"/>
          <w:sz w:val="24"/>
          <w:szCs w:val="24"/>
          <w:lang w:val="en-GB"/>
        </w:rPr>
        <w:t>Denmark</w:t>
      </w:r>
      <w:r w:rsidR="00833C75">
        <w:rPr>
          <w:rFonts w:ascii="Times New Roman" w:hAnsi="Times New Roman" w:cs="Times New Roman"/>
          <w:sz w:val="24"/>
          <w:szCs w:val="24"/>
          <w:lang w:val="en-GB"/>
        </w:rPr>
        <w:t>.</w:t>
      </w:r>
      <w:r w:rsidR="00327240">
        <w:rPr>
          <w:rFonts w:ascii="Times New Roman" w:hAnsi="Times New Roman" w:cs="Times New Roman"/>
          <w:sz w:val="24"/>
          <w:szCs w:val="24"/>
          <w:lang w:val="en-GB"/>
        </w:rPr>
        <w:t xml:space="preserve"> </w:t>
      </w:r>
    </w:p>
    <w:p w14:paraId="510F81BF" w14:textId="430EB45B" w:rsidR="00192CEB" w:rsidRDefault="00837E36" w:rsidP="00D42B2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difference to </w:t>
      </w:r>
      <w:r w:rsidR="00BF4032">
        <w:rPr>
          <w:rFonts w:ascii="Times New Roman" w:hAnsi="Times New Roman" w:cs="Times New Roman"/>
          <w:sz w:val="24"/>
          <w:szCs w:val="24"/>
          <w:lang w:val="en-GB"/>
        </w:rPr>
        <w:t>especially Norway (see Section 2.3)</w:t>
      </w:r>
      <w:r>
        <w:rPr>
          <w:rFonts w:ascii="Times New Roman" w:hAnsi="Times New Roman" w:cs="Times New Roman"/>
          <w:sz w:val="24"/>
          <w:szCs w:val="24"/>
          <w:lang w:val="en-GB"/>
        </w:rPr>
        <w:t xml:space="preserve"> is that</w:t>
      </w:r>
      <w:r w:rsidR="009E45AB">
        <w:rPr>
          <w:rFonts w:ascii="Times New Roman" w:hAnsi="Times New Roman" w:cs="Times New Roman"/>
          <w:sz w:val="24"/>
          <w:szCs w:val="24"/>
          <w:lang w:val="en-GB"/>
        </w:rPr>
        <w:t xml:space="preserve"> Swedish</w:t>
      </w:r>
      <w:r>
        <w:rPr>
          <w:rFonts w:ascii="Times New Roman" w:hAnsi="Times New Roman" w:cs="Times New Roman"/>
          <w:sz w:val="24"/>
          <w:szCs w:val="24"/>
          <w:lang w:val="en-GB"/>
        </w:rPr>
        <w:t xml:space="preserve"> </w:t>
      </w:r>
      <w:r w:rsidR="00140465">
        <w:rPr>
          <w:rFonts w:ascii="Times New Roman" w:hAnsi="Times New Roman" w:cs="Times New Roman"/>
          <w:sz w:val="24"/>
          <w:szCs w:val="24"/>
          <w:lang w:val="en-GB"/>
        </w:rPr>
        <w:t>norm</w:t>
      </w:r>
      <w:r w:rsidR="009E45AB">
        <w:rPr>
          <w:rFonts w:ascii="Times New Roman" w:hAnsi="Times New Roman" w:cs="Times New Roman"/>
          <w:sz w:val="24"/>
          <w:szCs w:val="24"/>
          <w:lang w:val="en-GB"/>
        </w:rPr>
        <w:t>-</w:t>
      </w:r>
      <w:r w:rsidR="00140465">
        <w:rPr>
          <w:rFonts w:ascii="Times New Roman" w:hAnsi="Times New Roman" w:cs="Times New Roman"/>
          <w:sz w:val="24"/>
          <w:szCs w:val="24"/>
          <w:lang w:val="en-GB"/>
        </w:rPr>
        <w:t xml:space="preserve">setting </w:t>
      </w:r>
      <w:r w:rsidR="006917DB">
        <w:rPr>
          <w:rFonts w:ascii="Times New Roman" w:hAnsi="Times New Roman" w:cs="Times New Roman"/>
          <w:sz w:val="24"/>
          <w:szCs w:val="24"/>
          <w:lang w:val="en-GB"/>
        </w:rPr>
        <w:t xml:space="preserve">refers to </w:t>
      </w:r>
      <w:r w:rsidR="00A76AD3">
        <w:rPr>
          <w:rFonts w:ascii="Times New Roman" w:hAnsi="Times New Roman" w:cs="Times New Roman"/>
          <w:sz w:val="24"/>
          <w:szCs w:val="24"/>
          <w:lang w:val="en-GB"/>
        </w:rPr>
        <w:t xml:space="preserve">the </w:t>
      </w:r>
      <w:r w:rsidR="004E359D">
        <w:rPr>
          <w:rFonts w:ascii="Times New Roman" w:hAnsi="Times New Roman" w:cs="Times New Roman"/>
          <w:sz w:val="24"/>
          <w:szCs w:val="24"/>
          <w:lang w:val="en-GB"/>
        </w:rPr>
        <w:t xml:space="preserve">wage increases in the </w:t>
      </w:r>
      <w:r w:rsidR="008119B2">
        <w:rPr>
          <w:rFonts w:ascii="Times New Roman" w:hAnsi="Times New Roman" w:cs="Times New Roman"/>
          <w:sz w:val="24"/>
          <w:szCs w:val="24"/>
          <w:lang w:val="en-GB"/>
        </w:rPr>
        <w:t>industry agree</w:t>
      </w:r>
      <w:r w:rsidR="00975209">
        <w:rPr>
          <w:rFonts w:ascii="Times New Roman" w:hAnsi="Times New Roman" w:cs="Times New Roman"/>
          <w:sz w:val="24"/>
          <w:szCs w:val="24"/>
          <w:lang w:val="en-GB"/>
        </w:rPr>
        <w:t>ments</w:t>
      </w:r>
      <w:r w:rsidR="00275568">
        <w:rPr>
          <w:rFonts w:ascii="Times New Roman" w:hAnsi="Times New Roman" w:cs="Times New Roman"/>
          <w:sz w:val="24"/>
          <w:szCs w:val="24"/>
          <w:lang w:val="en-GB"/>
        </w:rPr>
        <w:t xml:space="preserve"> </w:t>
      </w:r>
      <w:r w:rsidR="00975209">
        <w:rPr>
          <w:rFonts w:ascii="Times New Roman" w:hAnsi="Times New Roman" w:cs="Times New Roman"/>
          <w:sz w:val="24"/>
          <w:szCs w:val="24"/>
          <w:lang w:val="en-GB"/>
        </w:rPr>
        <w:t>but does not formally inc</w:t>
      </w:r>
      <w:r w:rsidR="00BF4032">
        <w:rPr>
          <w:rFonts w:ascii="Times New Roman" w:hAnsi="Times New Roman" w:cs="Times New Roman"/>
          <w:sz w:val="24"/>
          <w:szCs w:val="24"/>
          <w:lang w:val="en-GB"/>
        </w:rPr>
        <w:t xml:space="preserve">orporate </w:t>
      </w:r>
      <w:r w:rsidR="00A92406">
        <w:rPr>
          <w:rFonts w:ascii="Times New Roman" w:hAnsi="Times New Roman" w:cs="Times New Roman"/>
          <w:sz w:val="24"/>
          <w:szCs w:val="24"/>
          <w:lang w:val="en-GB"/>
        </w:rPr>
        <w:t xml:space="preserve">additional </w:t>
      </w:r>
      <w:r w:rsidR="00237F81">
        <w:rPr>
          <w:rFonts w:ascii="Times New Roman" w:hAnsi="Times New Roman" w:cs="Times New Roman"/>
          <w:sz w:val="24"/>
          <w:szCs w:val="24"/>
          <w:lang w:val="en-GB"/>
        </w:rPr>
        <w:t xml:space="preserve">local </w:t>
      </w:r>
      <w:r w:rsidR="00A92406">
        <w:rPr>
          <w:rFonts w:ascii="Times New Roman" w:hAnsi="Times New Roman" w:cs="Times New Roman"/>
          <w:sz w:val="24"/>
          <w:szCs w:val="24"/>
          <w:lang w:val="en-GB"/>
        </w:rPr>
        <w:t>wage increases</w:t>
      </w:r>
      <w:r w:rsidR="00237F81">
        <w:rPr>
          <w:rFonts w:ascii="Times New Roman" w:hAnsi="Times New Roman" w:cs="Times New Roman"/>
          <w:sz w:val="24"/>
          <w:szCs w:val="24"/>
          <w:lang w:val="en-GB"/>
        </w:rPr>
        <w:t xml:space="preserve"> (</w:t>
      </w:r>
      <w:r w:rsidR="00A92406">
        <w:rPr>
          <w:rFonts w:ascii="Times New Roman" w:hAnsi="Times New Roman" w:cs="Times New Roman"/>
          <w:sz w:val="24"/>
          <w:szCs w:val="24"/>
          <w:lang w:val="en-GB"/>
        </w:rPr>
        <w:t>wage drift</w:t>
      </w:r>
      <w:r w:rsidR="00237F81">
        <w:rPr>
          <w:rFonts w:ascii="Times New Roman" w:hAnsi="Times New Roman" w:cs="Times New Roman"/>
          <w:sz w:val="24"/>
          <w:szCs w:val="24"/>
          <w:lang w:val="en-GB"/>
        </w:rPr>
        <w:t>)</w:t>
      </w:r>
      <w:r w:rsidR="00EC465C">
        <w:rPr>
          <w:rFonts w:ascii="Times New Roman" w:hAnsi="Times New Roman" w:cs="Times New Roman"/>
          <w:sz w:val="24"/>
          <w:szCs w:val="24"/>
          <w:lang w:val="en-GB"/>
        </w:rPr>
        <w:t>.</w:t>
      </w:r>
      <w:r w:rsidR="00BA247A">
        <w:rPr>
          <w:rFonts w:ascii="Times New Roman" w:hAnsi="Times New Roman" w:cs="Times New Roman"/>
          <w:sz w:val="24"/>
          <w:szCs w:val="24"/>
          <w:lang w:val="en-GB"/>
        </w:rPr>
        <w:t xml:space="preserve"> </w:t>
      </w:r>
      <w:r w:rsidR="003462A2">
        <w:rPr>
          <w:rFonts w:ascii="Times New Roman" w:hAnsi="Times New Roman" w:cs="Times New Roman"/>
          <w:sz w:val="24"/>
          <w:szCs w:val="24"/>
          <w:lang w:val="en-GB"/>
        </w:rPr>
        <w:t>This may not have been considered</w:t>
      </w:r>
      <w:r w:rsidR="0067271F">
        <w:rPr>
          <w:rFonts w:ascii="Times New Roman" w:hAnsi="Times New Roman" w:cs="Times New Roman"/>
          <w:sz w:val="24"/>
          <w:szCs w:val="24"/>
          <w:lang w:val="en-GB"/>
        </w:rPr>
        <w:t xml:space="preserve"> necessary </w:t>
      </w:r>
      <w:r w:rsidR="00237F81">
        <w:rPr>
          <w:rFonts w:ascii="Times New Roman" w:hAnsi="Times New Roman" w:cs="Times New Roman"/>
          <w:sz w:val="24"/>
          <w:szCs w:val="24"/>
          <w:lang w:val="en-GB"/>
        </w:rPr>
        <w:t>as</w:t>
      </w:r>
      <w:r w:rsidR="00EA013D">
        <w:rPr>
          <w:rFonts w:ascii="Times New Roman" w:hAnsi="Times New Roman" w:cs="Times New Roman"/>
          <w:sz w:val="24"/>
          <w:szCs w:val="24"/>
          <w:lang w:val="en-GB"/>
        </w:rPr>
        <w:t xml:space="preserve"> drift has </w:t>
      </w:r>
      <w:r w:rsidR="00237F81">
        <w:rPr>
          <w:rFonts w:ascii="Times New Roman" w:hAnsi="Times New Roman" w:cs="Times New Roman"/>
          <w:sz w:val="24"/>
          <w:szCs w:val="24"/>
          <w:lang w:val="en-GB"/>
        </w:rPr>
        <w:t>recently</w:t>
      </w:r>
      <w:r w:rsidR="00EA013D">
        <w:rPr>
          <w:rFonts w:ascii="Times New Roman" w:hAnsi="Times New Roman" w:cs="Times New Roman"/>
          <w:sz w:val="24"/>
          <w:szCs w:val="24"/>
          <w:lang w:val="en-GB"/>
        </w:rPr>
        <w:t xml:space="preserve"> accounted for only a small part of </w:t>
      </w:r>
      <w:r w:rsidR="00576844">
        <w:rPr>
          <w:rFonts w:ascii="Times New Roman" w:hAnsi="Times New Roman" w:cs="Times New Roman"/>
          <w:sz w:val="24"/>
          <w:szCs w:val="24"/>
          <w:lang w:val="en-GB"/>
        </w:rPr>
        <w:t>wage increases</w:t>
      </w:r>
      <w:r w:rsidR="003D15E4">
        <w:rPr>
          <w:rFonts w:ascii="Times New Roman" w:hAnsi="Times New Roman" w:cs="Times New Roman"/>
          <w:sz w:val="24"/>
          <w:szCs w:val="24"/>
          <w:lang w:val="en-GB"/>
        </w:rPr>
        <w:t xml:space="preserve"> (Medlingsinstitutet, 2024)</w:t>
      </w:r>
      <w:r w:rsidR="00B36113">
        <w:rPr>
          <w:rFonts w:ascii="Times New Roman" w:hAnsi="Times New Roman" w:cs="Times New Roman"/>
          <w:sz w:val="24"/>
          <w:szCs w:val="24"/>
          <w:lang w:val="en-GB"/>
        </w:rPr>
        <w:t>.</w:t>
      </w:r>
      <w:r w:rsidR="00A430E2">
        <w:rPr>
          <w:rFonts w:ascii="Times New Roman" w:hAnsi="Times New Roman" w:cs="Times New Roman"/>
          <w:sz w:val="24"/>
          <w:szCs w:val="24"/>
          <w:lang w:val="en-GB"/>
        </w:rPr>
        <w:t xml:space="preserve"> </w:t>
      </w:r>
      <w:r w:rsidR="006F72C2">
        <w:rPr>
          <w:rFonts w:ascii="Times New Roman" w:hAnsi="Times New Roman" w:cs="Times New Roman"/>
          <w:sz w:val="24"/>
          <w:szCs w:val="24"/>
          <w:lang w:val="en-GB"/>
        </w:rPr>
        <w:t>A</w:t>
      </w:r>
      <w:r w:rsidR="00B36113">
        <w:rPr>
          <w:rFonts w:ascii="Times New Roman" w:hAnsi="Times New Roman" w:cs="Times New Roman"/>
          <w:sz w:val="24"/>
          <w:szCs w:val="24"/>
          <w:lang w:val="en-GB"/>
        </w:rPr>
        <w:t xml:space="preserve"> practice has</w:t>
      </w:r>
      <w:r w:rsidR="009E1D76">
        <w:rPr>
          <w:rFonts w:ascii="Times New Roman" w:hAnsi="Times New Roman" w:cs="Times New Roman"/>
          <w:sz w:val="24"/>
          <w:szCs w:val="24"/>
          <w:lang w:val="en-GB"/>
        </w:rPr>
        <w:t xml:space="preserve"> </w:t>
      </w:r>
      <w:r w:rsidR="00B36113">
        <w:rPr>
          <w:rFonts w:ascii="Times New Roman" w:hAnsi="Times New Roman" w:cs="Times New Roman"/>
          <w:sz w:val="24"/>
          <w:szCs w:val="24"/>
          <w:lang w:val="en-GB"/>
        </w:rPr>
        <w:t>developed w</w:t>
      </w:r>
      <w:r w:rsidR="008D174A">
        <w:rPr>
          <w:rFonts w:ascii="Times New Roman" w:hAnsi="Times New Roman" w:cs="Times New Roman"/>
          <w:sz w:val="24"/>
          <w:szCs w:val="24"/>
          <w:lang w:val="en-GB"/>
        </w:rPr>
        <w:t>her</w:t>
      </w:r>
      <w:r w:rsidR="00B36113">
        <w:rPr>
          <w:rFonts w:ascii="Times New Roman" w:hAnsi="Times New Roman" w:cs="Times New Roman"/>
          <w:sz w:val="24"/>
          <w:szCs w:val="24"/>
          <w:lang w:val="en-GB"/>
        </w:rPr>
        <w:t xml:space="preserve">e </w:t>
      </w:r>
      <w:r w:rsidR="005318EE">
        <w:rPr>
          <w:rFonts w:ascii="Times New Roman" w:hAnsi="Times New Roman" w:cs="Times New Roman"/>
          <w:sz w:val="24"/>
          <w:szCs w:val="24"/>
          <w:lang w:val="en-GB"/>
        </w:rPr>
        <w:t>the agreement in retailing sets a second norm</w:t>
      </w:r>
      <w:r w:rsidR="005909E9">
        <w:rPr>
          <w:rFonts w:ascii="Times New Roman" w:hAnsi="Times New Roman" w:cs="Times New Roman"/>
          <w:sz w:val="24"/>
          <w:szCs w:val="24"/>
          <w:lang w:val="en-GB"/>
        </w:rPr>
        <w:t xml:space="preserve">, in </w:t>
      </w:r>
      <w:r w:rsidR="00AA66DD" w:rsidRPr="00D2342E">
        <w:rPr>
          <w:rFonts w:ascii="Times New Roman" w:hAnsi="Times New Roman" w:cs="Times New Roman"/>
          <w:i/>
          <w:iCs/>
          <w:sz w:val="24"/>
          <w:szCs w:val="24"/>
          <w:lang w:val="en-GB"/>
        </w:rPr>
        <w:t>kronor</w:t>
      </w:r>
      <w:r w:rsidR="00E601AA">
        <w:rPr>
          <w:rFonts w:ascii="Times New Roman" w:hAnsi="Times New Roman" w:cs="Times New Roman"/>
          <w:sz w:val="24"/>
          <w:szCs w:val="24"/>
          <w:lang w:val="en-GB"/>
        </w:rPr>
        <w:t xml:space="preserve">, for </w:t>
      </w:r>
      <w:r w:rsidR="009C3E98">
        <w:rPr>
          <w:rFonts w:ascii="Times New Roman" w:hAnsi="Times New Roman" w:cs="Times New Roman"/>
          <w:sz w:val="24"/>
          <w:szCs w:val="24"/>
          <w:lang w:val="en-GB"/>
        </w:rPr>
        <w:t>employ</w:t>
      </w:r>
      <w:r w:rsidR="00934179">
        <w:rPr>
          <w:rFonts w:ascii="Times New Roman" w:hAnsi="Times New Roman" w:cs="Times New Roman"/>
          <w:sz w:val="24"/>
          <w:szCs w:val="24"/>
          <w:lang w:val="en-GB"/>
        </w:rPr>
        <w:t>ees in</w:t>
      </w:r>
      <w:r w:rsidR="009C4267">
        <w:rPr>
          <w:rFonts w:ascii="Times New Roman" w:hAnsi="Times New Roman" w:cs="Times New Roman"/>
          <w:sz w:val="24"/>
          <w:szCs w:val="24"/>
          <w:lang w:val="en-GB"/>
        </w:rPr>
        <w:t xml:space="preserve"> lower-wage</w:t>
      </w:r>
      <w:r w:rsidR="00934179">
        <w:rPr>
          <w:rFonts w:ascii="Times New Roman" w:hAnsi="Times New Roman" w:cs="Times New Roman"/>
          <w:sz w:val="24"/>
          <w:szCs w:val="24"/>
          <w:lang w:val="en-GB"/>
        </w:rPr>
        <w:t xml:space="preserve"> </w:t>
      </w:r>
      <w:r w:rsidR="005D52C2">
        <w:rPr>
          <w:rFonts w:ascii="Times New Roman" w:hAnsi="Times New Roman" w:cs="Times New Roman"/>
          <w:sz w:val="24"/>
          <w:szCs w:val="24"/>
          <w:lang w:val="en-GB"/>
        </w:rPr>
        <w:t xml:space="preserve">non-tradables </w:t>
      </w:r>
      <w:r w:rsidR="00E170B7">
        <w:rPr>
          <w:rFonts w:ascii="Times New Roman" w:hAnsi="Times New Roman" w:cs="Times New Roman"/>
          <w:sz w:val="24"/>
          <w:szCs w:val="24"/>
          <w:lang w:val="en-GB"/>
        </w:rPr>
        <w:t>industries</w:t>
      </w:r>
      <w:r w:rsidR="00283D80">
        <w:rPr>
          <w:rFonts w:ascii="Times New Roman" w:hAnsi="Times New Roman" w:cs="Times New Roman"/>
          <w:sz w:val="24"/>
          <w:szCs w:val="24"/>
          <w:lang w:val="en-GB"/>
        </w:rPr>
        <w:t>.</w:t>
      </w:r>
      <w:r w:rsidR="001E5623">
        <w:rPr>
          <w:rFonts w:ascii="Times New Roman" w:hAnsi="Times New Roman" w:cs="Times New Roman"/>
          <w:sz w:val="24"/>
          <w:szCs w:val="24"/>
          <w:lang w:val="en-GB"/>
        </w:rPr>
        <w:t xml:space="preserve"> As</w:t>
      </w:r>
      <w:r w:rsidR="00221789">
        <w:rPr>
          <w:rFonts w:ascii="Times New Roman" w:hAnsi="Times New Roman" w:cs="Times New Roman"/>
          <w:sz w:val="24"/>
          <w:szCs w:val="24"/>
          <w:lang w:val="en-GB"/>
        </w:rPr>
        <w:t xml:space="preserve"> this norm</w:t>
      </w:r>
      <w:r w:rsidR="0079013C">
        <w:rPr>
          <w:rFonts w:ascii="Times New Roman" w:hAnsi="Times New Roman" w:cs="Times New Roman"/>
          <w:sz w:val="24"/>
          <w:szCs w:val="24"/>
          <w:lang w:val="en-GB"/>
        </w:rPr>
        <w:t xml:space="preserve"> is set to give hig</w:t>
      </w:r>
      <w:r w:rsidR="008D174A">
        <w:rPr>
          <w:rFonts w:ascii="Times New Roman" w:hAnsi="Times New Roman" w:cs="Times New Roman"/>
          <w:sz w:val="24"/>
          <w:szCs w:val="24"/>
          <w:lang w:val="en-GB"/>
        </w:rPr>
        <w:t>her</w:t>
      </w:r>
      <w:r w:rsidR="0079013C">
        <w:rPr>
          <w:rFonts w:ascii="Times New Roman" w:hAnsi="Times New Roman" w:cs="Times New Roman"/>
          <w:sz w:val="24"/>
          <w:szCs w:val="24"/>
          <w:lang w:val="en-GB"/>
        </w:rPr>
        <w:t xml:space="preserve"> percentage increase</w:t>
      </w:r>
      <w:r w:rsidR="00493BAA">
        <w:rPr>
          <w:rFonts w:ascii="Times New Roman" w:hAnsi="Times New Roman" w:cs="Times New Roman"/>
          <w:sz w:val="24"/>
          <w:szCs w:val="24"/>
          <w:lang w:val="en-GB"/>
        </w:rPr>
        <w:t>s</w:t>
      </w:r>
      <w:r w:rsidR="0079013C">
        <w:rPr>
          <w:rFonts w:ascii="Times New Roman" w:hAnsi="Times New Roman" w:cs="Times New Roman"/>
          <w:sz w:val="24"/>
          <w:szCs w:val="24"/>
          <w:lang w:val="en-GB"/>
        </w:rPr>
        <w:t xml:space="preserve"> than i</w:t>
      </w:r>
      <w:r w:rsidR="00493BAA">
        <w:rPr>
          <w:rFonts w:ascii="Times New Roman" w:hAnsi="Times New Roman" w:cs="Times New Roman"/>
          <w:sz w:val="24"/>
          <w:szCs w:val="24"/>
          <w:lang w:val="en-GB"/>
        </w:rPr>
        <w:t>n manufacturing, it also serves to compensate for the lower</w:t>
      </w:r>
      <w:r w:rsidR="002349E3">
        <w:rPr>
          <w:rFonts w:ascii="Times New Roman" w:hAnsi="Times New Roman" w:cs="Times New Roman"/>
          <w:sz w:val="24"/>
          <w:szCs w:val="24"/>
          <w:lang w:val="en-GB"/>
        </w:rPr>
        <w:t xml:space="preserve"> wage</w:t>
      </w:r>
      <w:r w:rsidR="00493BAA">
        <w:rPr>
          <w:rFonts w:ascii="Times New Roman" w:hAnsi="Times New Roman" w:cs="Times New Roman"/>
          <w:sz w:val="24"/>
          <w:szCs w:val="24"/>
          <w:lang w:val="en-GB"/>
        </w:rPr>
        <w:t xml:space="preserve"> drift</w:t>
      </w:r>
      <w:r w:rsidR="002349E3">
        <w:rPr>
          <w:rFonts w:ascii="Times New Roman" w:hAnsi="Times New Roman" w:cs="Times New Roman"/>
          <w:sz w:val="24"/>
          <w:szCs w:val="24"/>
          <w:lang w:val="en-GB"/>
        </w:rPr>
        <w:t xml:space="preserve"> in those industries</w:t>
      </w:r>
      <w:r w:rsidR="00493BAA">
        <w:rPr>
          <w:rFonts w:ascii="Times New Roman" w:hAnsi="Times New Roman" w:cs="Times New Roman"/>
          <w:sz w:val="24"/>
          <w:szCs w:val="24"/>
          <w:lang w:val="en-GB"/>
        </w:rPr>
        <w:t>.</w:t>
      </w:r>
      <w:r w:rsidR="00221789">
        <w:rPr>
          <w:rFonts w:ascii="Times New Roman" w:hAnsi="Times New Roman" w:cs="Times New Roman"/>
          <w:sz w:val="24"/>
          <w:szCs w:val="24"/>
          <w:lang w:val="en-GB"/>
        </w:rPr>
        <w:t xml:space="preserve"> </w:t>
      </w:r>
      <w:r w:rsidR="001E5623">
        <w:rPr>
          <w:rFonts w:ascii="Times New Roman" w:hAnsi="Times New Roman" w:cs="Times New Roman"/>
          <w:sz w:val="24"/>
          <w:szCs w:val="24"/>
          <w:lang w:val="en-GB"/>
        </w:rPr>
        <w:t xml:space="preserve"> </w:t>
      </w:r>
      <w:r w:rsidR="00E170B7">
        <w:rPr>
          <w:rFonts w:ascii="Times New Roman" w:hAnsi="Times New Roman" w:cs="Times New Roman"/>
          <w:sz w:val="24"/>
          <w:szCs w:val="24"/>
          <w:lang w:val="en-GB"/>
        </w:rPr>
        <w:t xml:space="preserve"> </w:t>
      </w:r>
      <w:r w:rsidR="009C3E98">
        <w:rPr>
          <w:rFonts w:ascii="Times New Roman" w:hAnsi="Times New Roman" w:cs="Times New Roman"/>
          <w:sz w:val="24"/>
          <w:szCs w:val="24"/>
          <w:lang w:val="en-GB"/>
        </w:rPr>
        <w:t xml:space="preserve"> </w:t>
      </w:r>
    </w:p>
    <w:p w14:paraId="4DF4CA35" w14:textId="6B945702" w:rsidR="009E00C8" w:rsidRDefault="003F607C" w:rsidP="009E00C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Public-sector w</w:t>
      </w:r>
      <w:r w:rsidR="00B556AB">
        <w:rPr>
          <w:rFonts w:ascii="Times New Roman" w:hAnsi="Times New Roman" w:cs="Times New Roman"/>
          <w:sz w:val="24"/>
          <w:szCs w:val="24"/>
          <w:lang w:val="en-GB"/>
        </w:rPr>
        <w:t xml:space="preserve">hite-collar workers </w:t>
      </w:r>
      <w:r w:rsidR="000B1EED">
        <w:rPr>
          <w:rFonts w:ascii="Times New Roman" w:hAnsi="Times New Roman" w:cs="Times New Roman"/>
          <w:sz w:val="24"/>
          <w:szCs w:val="24"/>
          <w:lang w:val="en-GB"/>
        </w:rPr>
        <w:t xml:space="preserve">tend to have </w:t>
      </w:r>
      <w:r w:rsidR="000B1EED">
        <w:rPr>
          <w:rFonts w:ascii="Times New Roman" w:hAnsi="Times New Roman" w:cs="Times New Roman"/>
          <w:i/>
          <w:iCs/>
          <w:sz w:val="24"/>
          <w:szCs w:val="24"/>
          <w:lang w:val="en-GB"/>
        </w:rPr>
        <w:t xml:space="preserve">figureless </w:t>
      </w:r>
      <w:r w:rsidR="00094169">
        <w:rPr>
          <w:rFonts w:ascii="Times New Roman" w:hAnsi="Times New Roman" w:cs="Times New Roman"/>
          <w:sz w:val="24"/>
          <w:szCs w:val="24"/>
          <w:lang w:val="en-GB"/>
        </w:rPr>
        <w:t>hig</w:t>
      </w:r>
      <w:r w:rsidR="008D174A">
        <w:rPr>
          <w:rFonts w:ascii="Times New Roman" w:hAnsi="Times New Roman" w:cs="Times New Roman"/>
          <w:sz w:val="24"/>
          <w:szCs w:val="24"/>
          <w:lang w:val="en-GB"/>
        </w:rPr>
        <w:t>her</w:t>
      </w:r>
      <w:r w:rsidR="00094169">
        <w:rPr>
          <w:rFonts w:ascii="Times New Roman" w:hAnsi="Times New Roman" w:cs="Times New Roman"/>
          <w:sz w:val="24"/>
          <w:szCs w:val="24"/>
          <w:lang w:val="en-GB"/>
        </w:rPr>
        <w:t>-level agreements</w:t>
      </w:r>
      <w:r w:rsidR="00B15DF0">
        <w:rPr>
          <w:rFonts w:ascii="Times New Roman" w:hAnsi="Times New Roman" w:cs="Times New Roman"/>
          <w:sz w:val="24"/>
          <w:szCs w:val="24"/>
          <w:lang w:val="en-GB"/>
        </w:rPr>
        <w:t xml:space="preserve">, </w:t>
      </w:r>
      <w:r w:rsidR="003B661E">
        <w:rPr>
          <w:rFonts w:ascii="Times New Roman" w:hAnsi="Times New Roman" w:cs="Times New Roman"/>
          <w:sz w:val="24"/>
          <w:szCs w:val="24"/>
          <w:lang w:val="en-GB"/>
        </w:rPr>
        <w:t xml:space="preserve">leaving the determination of </w:t>
      </w:r>
      <w:r w:rsidR="002349E3">
        <w:rPr>
          <w:rFonts w:ascii="Times New Roman" w:hAnsi="Times New Roman" w:cs="Times New Roman"/>
          <w:sz w:val="24"/>
          <w:szCs w:val="24"/>
          <w:lang w:val="en-GB"/>
        </w:rPr>
        <w:t xml:space="preserve">all </w:t>
      </w:r>
      <w:r w:rsidR="009B4FAD">
        <w:rPr>
          <w:rFonts w:ascii="Times New Roman" w:hAnsi="Times New Roman" w:cs="Times New Roman"/>
          <w:sz w:val="24"/>
          <w:szCs w:val="24"/>
          <w:lang w:val="en-GB"/>
        </w:rPr>
        <w:t xml:space="preserve">wage increases </w:t>
      </w:r>
      <w:r w:rsidR="003B661E">
        <w:rPr>
          <w:rFonts w:ascii="Times New Roman" w:hAnsi="Times New Roman" w:cs="Times New Roman"/>
          <w:sz w:val="24"/>
          <w:szCs w:val="24"/>
          <w:lang w:val="en-GB"/>
        </w:rPr>
        <w:t>to the local level</w:t>
      </w:r>
      <w:r w:rsidR="009E00C8">
        <w:rPr>
          <w:rFonts w:ascii="Times New Roman" w:hAnsi="Times New Roman" w:cs="Times New Roman"/>
          <w:sz w:val="24"/>
          <w:szCs w:val="24"/>
          <w:lang w:val="en-GB"/>
        </w:rPr>
        <w:t>.</w:t>
      </w:r>
      <w:r w:rsidR="00375726">
        <w:rPr>
          <w:rFonts w:ascii="Times New Roman" w:hAnsi="Times New Roman" w:cs="Times New Roman"/>
          <w:sz w:val="24"/>
          <w:szCs w:val="24"/>
          <w:lang w:val="en-GB"/>
        </w:rPr>
        <w:t xml:space="preserve"> But also </w:t>
      </w:r>
      <w:r w:rsidR="00B90017">
        <w:rPr>
          <w:rFonts w:ascii="Times New Roman" w:hAnsi="Times New Roman" w:cs="Times New Roman"/>
          <w:sz w:val="24"/>
          <w:szCs w:val="24"/>
          <w:lang w:val="en-GB"/>
        </w:rPr>
        <w:t xml:space="preserve">for </w:t>
      </w:r>
      <w:r w:rsidR="007E6671">
        <w:rPr>
          <w:rFonts w:ascii="Times New Roman" w:hAnsi="Times New Roman" w:cs="Times New Roman"/>
          <w:sz w:val="24"/>
          <w:szCs w:val="24"/>
          <w:lang w:val="en-GB"/>
        </w:rPr>
        <w:t xml:space="preserve">these groups, wage increases </w:t>
      </w:r>
      <w:r w:rsidR="00700D5D">
        <w:rPr>
          <w:rFonts w:ascii="Times New Roman" w:hAnsi="Times New Roman" w:cs="Times New Roman"/>
          <w:sz w:val="24"/>
          <w:szCs w:val="24"/>
          <w:lang w:val="en-GB"/>
        </w:rPr>
        <w:t>are</w:t>
      </w:r>
      <w:r w:rsidR="003B661E">
        <w:rPr>
          <w:rFonts w:ascii="Times New Roman" w:hAnsi="Times New Roman" w:cs="Times New Roman"/>
          <w:sz w:val="24"/>
          <w:szCs w:val="24"/>
          <w:lang w:val="en-GB"/>
        </w:rPr>
        <w:t xml:space="preserve"> </w:t>
      </w:r>
      <w:r w:rsidR="00164E05">
        <w:rPr>
          <w:rFonts w:ascii="Times New Roman" w:hAnsi="Times New Roman" w:cs="Times New Roman"/>
          <w:sz w:val="24"/>
          <w:szCs w:val="24"/>
          <w:lang w:val="en-GB"/>
        </w:rPr>
        <w:t xml:space="preserve">guided </w:t>
      </w:r>
      <w:r w:rsidR="00050BCB">
        <w:rPr>
          <w:rFonts w:ascii="Times New Roman" w:hAnsi="Times New Roman" w:cs="Times New Roman"/>
          <w:sz w:val="24"/>
          <w:szCs w:val="24"/>
          <w:lang w:val="en-GB"/>
        </w:rPr>
        <w:t xml:space="preserve">by the manufacturing norm, even though at times </w:t>
      </w:r>
      <w:r w:rsidR="00E375B4">
        <w:rPr>
          <w:rFonts w:ascii="Times New Roman" w:hAnsi="Times New Roman" w:cs="Times New Roman"/>
          <w:sz w:val="24"/>
          <w:szCs w:val="24"/>
          <w:lang w:val="en-GB"/>
        </w:rPr>
        <w:t>these</w:t>
      </w:r>
      <w:r w:rsidR="00B64F72">
        <w:rPr>
          <w:rFonts w:ascii="Times New Roman" w:hAnsi="Times New Roman" w:cs="Times New Roman"/>
          <w:sz w:val="24"/>
          <w:szCs w:val="24"/>
          <w:lang w:val="en-GB"/>
        </w:rPr>
        <w:t xml:space="preserve"> </w:t>
      </w:r>
      <w:r w:rsidR="00F00C01">
        <w:rPr>
          <w:rFonts w:ascii="Times New Roman" w:hAnsi="Times New Roman" w:cs="Times New Roman"/>
          <w:sz w:val="24"/>
          <w:szCs w:val="24"/>
          <w:lang w:val="en-GB"/>
        </w:rPr>
        <w:t xml:space="preserve">agreements have </w:t>
      </w:r>
      <w:r w:rsidR="00E375B4">
        <w:rPr>
          <w:rFonts w:ascii="Times New Roman" w:hAnsi="Times New Roman" w:cs="Times New Roman"/>
          <w:sz w:val="24"/>
          <w:szCs w:val="24"/>
          <w:lang w:val="en-GB"/>
        </w:rPr>
        <w:t>allowed</w:t>
      </w:r>
      <w:r w:rsidR="00B64F72">
        <w:rPr>
          <w:rFonts w:ascii="Times New Roman" w:hAnsi="Times New Roman" w:cs="Times New Roman"/>
          <w:sz w:val="24"/>
          <w:szCs w:val="24"/>
          <w:lang w:val="en-GB"/>
        </w:rPr>
        <w:t xml:space="preserve">        </w:t>
      </w:r>
      <w:r w:rsidR="00F00C01">
        <w:rPr>
          <w:rFonts w:ascii="Times New Roman" w:hAnsi="Times New Roman" w:cs="Times New Roman"/>
          <w:sz w:val="24"/>
          <w:szCs w:val="24"/>
          <w:lang w:val="en-GB"/>
        </w:rPr>
        <w:t xml:space="preserve"> hig</w:t>
      </w:r>
      <w:r w:rsidR="008D174A">
        <w:rPr>
          <w:rFonts w:ascii="Times New Roman" w:hAnsi="Times New Roman" w:cs="Times New Roman"/>
          <w:sz w:val="24"/>
          <w:szCs w:val="24"/>
          <w:lang w:val="en-GB"/>
        </w:rPr>
        <w:t>her</w:t>
      </w:r>
      <w:r w:rsidR="00F00C01">
        <w:rPr>
          <w:rFonts w:ascii="Times New Roman" w:hAnsi="Times New Roman" w:cs="Times New Roman"/>
          <w:sz w:val="24"/>
          <w:szCs w:val="24"/>
          <w:lang w:val="en-GB"/>
        </w:rPr>
        <w:t xml:space="preserve"> wage increases fo</w:t>
      </w:r>
      <w:r w:rsidR="00146F8C">
        <w:rPr>
          <w:rFonts w:ascii="Times New Roman" w:hAnsi="Times New Roman" w:cs="Times New Roman"/>
          <w:sz w:val="24"/>
          <w:szCs w:val="24"/>
          <w:lang w:val="en-GB"/>
        </w:rPr>
        <w:t xml:space="preserve">r groups of employees </w:t>
      </w:r>
      <w:r w:rsidR="00503377">
        <w:rPr>
          <w:rFonts w:ascii="Times New Roman" w:hAnsi="Times New Roman" w:cs="Times New Roman"/>
          <w:sz w:val="24"/>
          <w:szCs w:val="24"/>
          <w:lang w:val="en-GB"/>
        </w:rPr>
        <w:t>benefiting from labour shortages (</w:t>
      </w:r>
      <w:r w:rsidR="00480B6E">
        <w:rPr>
          <w:rFonts w:ascii="Times New Roman" w:hAnsi="Times New Roman" w:cs="Times New Roman"/>
          <w:sz w:val="24"/>
          <w:szCs w:val="24"/>
          <w:lang w:val="en-GB"/>
        </w:rPr>
        <w:t>Medlingsinstitutet, 201</w:t>
      </w:r>
      <w:r w:rsidR="005D52C2">
        <w:rPr>
          <w:rFonts w:ascii="Times New Roman" w:hAnsi="Times New Roman" w:cs="Times New Roman"/>
          <w:sz w:val="24"/>
          <w:szCs w:val="24"/>
          <w:lang w:val="en-GB"/>
        </w:rPr>
        <w:t>8</w:t>
      </w:r>
      <w:r w:rsidR="00480B6E">
        <w:rPr>
          <w:rFonts w:ascii="Times New Roman" w:hAnsi="Times New Roman" w:cs="Times New Roman"/>
          <w:sz w:val="24"/>
          <w:szCs w:val="24"/>
          <w:lang w:val="en-GB"/>
        </w:rPr>
        <w:t xml:space="preserve">, </w:t>
      </w:r>
      <w:r w:rsidR="00503377">
        <w:rPr>
          <w:rFonts w:ascii="Times New Roman" w:hAnsi="Times New Roman" w:cs="Times New Roman"/>
          <w:sz w:val="24"/>
          <w:szCs w:val="24"/>
          <w:lang w:val="en-GB"/>
        </w:rPr>
        <w:t>Calmfors et al.</w:t>
      </w:r>
      <w:r w:rsidR="00480B6E">
        <w:rPr>
          <w:rFonts w:ascii="Times New Roman" w:hAnsi="Times New Roman" w:cs="Times New Roman"/>
          <w:sz w:val="24"/>
          <w:szCs w:val="24"/>
          <w:lang w:val="en-GB"/>
        </w:rPr>
        <w:t>,</w:t>
      </w:r>
      <w:r w:rsidR="00503377">
        <w:rPr>
          <w:rFonts w:ascii="Times New Roman" w:hAnsi="Times New Roman" w:cs="Times New Roman"/>
          <w:sz w:val="24"/>
          <w:szCs w:val="24"/>
          <w:lang w:val="en-GB"/>
        </w:rPr>
        <w:t xml:space="preserve"> 2019</w:t>
      </w:r>
      <w:r w:rsidR="00480B6E">
        <w:rPr>
          <w:rFonts w:ascii="Times New Roman" w:hAnsi="Times New Roman" w:cs="Times New Roman"/>
          <w:sz w:val="24"/>
          <w:szCs w:val="24"/>
          <w:lang w:val="en-GB"/>
        </w:rPr>
        <w:t>)</w:t>
      </w:r>
      <w:r w:rsidR="007B4272">
        <w:rPr>
          <w:rFonts w:ascii="Times New Roman" w:hAnsi="Times New Roman" w:cs="Times New Roman"/>
          <w:sz w:val="24"/>
          <w:szCs w:val="24"/>
          <w:lang w:val="en-GB"/>
        </w:rPr>
        <w:t xml:space="preserve">. </w:t>
      </w:r>
      <w:r w:rsidR="00E072BC">
        <w:rPr>
          <w:rFonts w:ascii="Times New Roman" w:hAnsi="Times New Roman" w:cs="Times New Roman"/>
          <w:sz w:val="24"/>
          <w:szCs w:val="24"/>
          <w:lang w:val="en-GB"/>
        </w:rPr>
        <w:t xml:space="preserve">Also, </w:t>
      </w:r>
      <w:r w:rsidR="0090508F">
        <w:rPr>
          <w:rFonts w:ascii="Times New Roman" w:hAnsi="Times New Roman" w:cs="Times New Roman"/>
          <w:sz w:val="24"/>
          <w:szCs w:val="24"/>
          <w:lang w:val="en-GB"/>
        </w:rPr>
        <w:t>Karlsson</w:t>
      </w:r>
      <w:r w:rsidR="00E072BC">
        <w:rPr>
          <w:rFonts w:ascii="Times New Roman" w:hAnsi="Times New Roman" w:cs="Times New Roman"/>
          <w:sz w:val="24"/>
          <w:szCs w:val="24"/>
          <w:lang w:val="en-GB"/>
        </w:rPr>
        <w:t xml:space="preserve"> </w:t>
      </w:r>
      <w:r w:rsidR="00631500">
        <w:rPr>
          <w:rFonts w:ascii="Times New Roman" w:hAnsi="Times New Roman" w:cs="Times New Roman"/>
          <w:sz w:val="24"/>
          <w:szCs w:val="24"/>
          <w:lang w:val="en-GB"/>
        </w:rPr>
        <w:t>et al</w:t>
      </w:r>
      <w:r w:rsidR="005D52C2">
        <w:rPr>
          <w:rFonts w:ascii="Times New Roman" w:hAnsi="Times New Roman" w:cs="Times New Roman"/>
          <w:sz w:val="24"/>
          <w:szCs w:val="24"/>
          <w:lang w:val="en-GB"/>
        </w:rPr>
        <w:t>.</w:t>
      </w:r>
      <w:r w:rsidR="00631500">
        <w:rPr>
          <w:rFonts w:ascii="Times New Roman" w:hAnsi="Times New Roman" w:cs="Times New Roman"/>
          <w:sz w:val="24"/>
          <w:szCs w:val="24"/>
          <w:lang w:val="en-GB"/>
        </w:rPr>
        <w:t>,</w:t>
      </w:r>
      <w:r w:rsidR="0090508F">
        <w:rPr>
          <w:rFonts w:ascii="Times New Roman" w:hAnsi="Times New Roman" w:cs="Times New Roman"/>
          <w:sz w:val="24"/>
          <w:szCs w:val="24"/>
          <w:lang w:val="en-GB"/>
        </w:rPr>
        <w:t xml:space="preserve"> </w:t>
      </w:r>
      <w:r w:rsidR="00DB3EA4">
        <w:rPr>
          <w:rFonts w:ascii="Times New Roman" w:hAnsi="Times New Roman" w:cs="Times New Roman"/>
          <w:sz w:val="24"/>
          <w:szCs w:val="24"/>
          <w:lang w:val="en-GB"/>
        </w:rPr>
        <w:t xml:space="preserve">(2014) found that </w:t>
      </w:r>
      <w:r w:rsidR="008055DF">
        <w:rPr>
          <w:rFonts w:ascii="Times New Roman" w:hAnsi="Times New Roman" w:cs="Times New Roman"/>
          <w:sz w:val="24"/>
          <w:szCs w:val="24"/>
          <w:lang w:val="en-GB"/>
        </w:rPr>
        <w:t xml:space="preserve">that the manufacturing norm </w:t>
      </w:r>
      <w:r w:rsidR="00B64F72">
        <w:rPr>
          <w:rFonts w:ascii="Times New Roman" w:hAnsi="Times New Roman" w:cs="Times New Roman"/>
          <w:sz w:val="24"/>
          <w:szCs w:val="24"/>
          <w:lang w:val="en-GB"/>
        </w:rPr>
        <w:t>was often followed</w:t>
      </w:r>
      <w:r w:rsidR="006C6037">
        <w:rPr>
          <w:rFonts w:ascii="Times New Roman" w:hAnsi="Times New Roman" w:cs="Times New Roman"/>
          <w:sz w:val="24"/>
          <w:szCs w:val="24"/>
          <w:lang w:val="en-GB"/>
        </w:rPr>
        <w:t xml:space="preserve"> also in private firms </w:t>
      </w:r>
      <w:r w:rsidR="00B64F72">
        <w:rPr>
          <w:rFonts w:ascii="Times New Roman" w:hAnsi="Times New Roman" w:cs="Times New Roman"/>
          <w:sz w:val="24"/>
          <w:szCs w:val="24"/>
          <w:lang w:val="en-GB"/>
        </w:rPr>
        <w:t>without</w:t>
      </w:r>
      <w:r w:rsidR="006C6037">
        <w:rPr>
          <w:rFonts w:ascii="Times New Roman" w:hAnsi="Times New Roman" w:cs="Times New Roman"/>
          <w:sz w:val="24"/>
          <w:szCs w:val="24"/>
          <w:lang w:val="en-GB"/>
        </w:rPr>
        <w:t xml:space="preserve"> collective agreements</w:t>
      </w:r>
      <w:r w:rsidR="00B64F72">
        <w:rPr>
          <w:rFonts w:ascii="Times New Roman" w:hAnsi="Times New Roman" w:cs="Times New Roman"/>
          <w:sz w:val="24"/>
          <w:szCs w:val="24"/>
          <w:lang w:val="en-GB"/>
        </w:rPr>
        <w:t>.</w:t>
      </w:r>
    </w:p>
    <w:p w14:paraId="720C6787" w14:textId="24B8ADFC" w:rsidR="00573AC1" w:rsidRPr="00A92917" w:rsidRDefault="00573AC1" w:rsidP="00573AC1">
      <w:pPr>
        <w:pStyle w:val="Heading2"/>
        <w:rPr>
          <w:rFonts w:ascii="Times New Roman" w:hAnsi="Times New Roman" w:cs="Times New Roman"/>
          <w:lang w:val="en-GB"/>
        </w:rPr>
      </w:pPr>
      <w:r w:rsidRPr="00A92917">
        <w:rPr>
          <w:rFonts w:ascii="Times New Roman" w:hAnsi="Times New Roman" w:cs="Times New Roman"/>
          <w:lang w:val="en-GB"/>
        </w:rPr>
        <w:t>2.3 Norway</w:t>
      </w:r>
      <w:r w:rsidRPr="00A92917">
        <w:rPr>
          <w:rStyle w:val="FootnoteReference"/>
          <w:rFonts w:ascii="Times New Roman" w:hAnsi="Times New Roman" w:cs="Times New Roman"/>
          <w:lang w:val="en-GB"/>
        </w:rPr>
        <w:footnoteReference w:id="6"/>
      </w:r>
    </w:p>
    <w:p w14:paraId="74D47E56" w14:textId="78F4D34E" w:rsidR="00087EA9" w:rsidRDefault="00202F43" w:rsidP="002B532D">
      <w:pPr>
        <w:spacing w:line="360" w:lineRule="auto"/>
        <w:jc w:val="both"/>
        <w:rPr>
          <w:rFonts w:ascii="Times New Roman" w:hAnsi="Times New Roman" w:cs="Times New Roman"/>
          <w:sz w:val="24"/>
          <w:szCs w:val="24"/>
          <w:lang w:val="en-GB"/>
        </w:rPr>
      </w:pPr>
      <w:r w:rsidRPr="00202F43">
        <w:rPr>
          <w:rFonts w:ascii="Times New Roman" w:hAnsi="Times New Roman" w:cs="Times New Roman"/>
          <w:sz w:val="24"/>
          <w:szCs w:val="24"/>
          <w:lang w:val="en-GB"/>
        </w:rPr>
        <w:t>The pri</w:t>
      </w:r>
      <w:r>
        <w:rPr>
          <w:rFonts w:ascii="Times New Roman" w:hAnsi="Times New Roman" w:cs="Times New Roman"/>
          <w:sz w:val="24"/>
          <w:szCs w:val="24"/>
          <w:lang w:val="en-GB"/>
        </w:rPr>
        <w:t>n</w:t>
      </w:r>
      <w:r w:rsidR="007D4EAE">
        <w:rPr>
          <w:rFonts w:ascii="Times New Roman" w:hAnsi="Times New Roman" w:cs="Times New Roman"/>
          <w:sz w:val="24"/>
          <w:szCs w:val="24"/>
          <w:lang w:val="en-GB"/>
        </w:rPr>
        <w:t>ciple</w:t>
      </w:r>
      <w:r w:rsidR="002B532D">
        <w:rPr>
          <w:rFonts w:ascii="Times New Roman" w:hAnsi="Times New Roman" w:cs="Times New Roman"/>
          <w:sz w:val="24"/>
          <w:szCs w:val="24"/>
          <w:lang w:val="en-GB"/>
        </w:rPr>
        <w:t xml:space="preserve"> that</w:t>
      </w:r>
      <w:r w:rsidR="007D4EAE">
        <w:rPr>
          <w:rFonts w:ascii="Times New Roman" w:hAnsi="Times New Roman" w:cs="Times New Roman"/>
          <w:sz w:val="24"/>
          <w:szCs w:val="24"/>
          <w:lang w:val="en-GB"/>
        </w:rPr>
        <w:t xml:space="preserve"> </w:t>
      </w:r>
      <w:r w:rsidR="00C94544">
        <w:rPr>
          <w:rFonts w:ascii="Times New Roman" w:hAnsi="Times New Roman" w:cs="Times New Roman"/>
          <w:sz w:val="24"/>
          <w:szCs w:val="24"/>
          <w:lang w:val="en-GB"/>
        </w:rPr>
        <w:t>intern</w:t>
      </w:r>
      <w:r w:rsidR="00C23B39">
        <w:rPr>
          <w:rFonts w:ascii="Times New Roman" w:hAnsi="Times New Roman" w:cs="Times New Roman"/>
          <w:sz w:val="24"/>
          <w:szCs w:val="24"/>
          <w:lang w:val="en-GB"/>
        </w:rPr>
        <w:t>ational competit</w:t>
      </w:r>
      <w:r w:rsidR="00E3210A">
        <w:rPr>
          <w:rFonts w:ascii="Times New Roman" w:hAnsi="Times New Roman" w:cs="Times New Roman"/>
          <w:sz w:val="24"/>
          <w:szCs w:val="24"/>
          <w:lang w:val="en-GB"/>
        </w:rPr>
        <w:t>i</w:t>
      </w:r>
      <w:r w:rsidR="00C23B39">
        <w:rPr>
          <w:rFonts w:ascii="Times New Roman" w:hAnsi="Times New Roman" w:cs="Times New Roman"/>
          <w:sz w:val="24"/>
          <w:szCs w:val="24"/>
          <w:lang w:val="en-GB"/>
        </w:rPr>
        <w:t>ve</w:t>
      </w:r>
      <w:r w:rsidR="00E3210A">
        <w:rPr>
          <w:rFonts w:ascii="Times New Roman" w:hAnsi="Times New Roman" w:cs="Times New Roman"/>
          <w:sz w:val="24"/>
          <w:szCs w:val="24"/>
          <w:lang w:val="en-GB"/>
        </w:rPr>
        <w:t>ne</w:t>
      </w:r>
      <w:r w:rsidR="00C23B39">
        <w:rPr>
          <w:rFonts w:ascii="Times New Roman" w:hAnsi="Times New Roman" w:cs="Times New Roman"/>
          <w:sz w:val="24"/>
          <w:szCs w:val="24"/>
          <w:lang w:val="en-GB"/>
        </w:rPr>
        <w:t xml:space="preserve">ss considerations should guide wage developments was </w:t>
      </w:r>
      <w:r w:rsidR="00F33C69">
        <w:rPr>
          <w:rFonts w:ascii="Times New Roman" w:hAnsi="Times New Roman" w:cs="Times New Roman"/>
          <w:sz w:val="24"/>
          <w:szCs w:val="24"/>
          <w:lang w:val="en-GB"/>
        </w:rPr>
        <w:t xml:space="preserve">articulated in </w:t>
      </w:r>
      <w:r w:rsidR="002C65E6">
        <w:rPr>
          <w:rFonts w:ascii="Times New Roman" w:hAnsi="Times New Roman" w:cs="Times New Roman"/>
          <w:sz w:val="24"/>
          <w:szCs w:val="24"/>
          <w:lang w:val="en-GB"/>
        </w:rPr>
        <w:t xml:space="preserve">the so-called </w:t>
      </w:r>
      <w:r w:rsidR="00AD27D8">
        <w:rPr>
          <w:rFonts w:ascii="Times New Roman" w:hAnsi="Times New Roman" w:cs="Times New Roman"/>
          <w:sz w:val="24"/>
          <w:szCs w:val="24"/>
          <w:lang w:val="en-GB"/>
        </w:rPr>
        <w:t>A</w:t>
      </w:r>
      <w:r w:rsidR="00A21FAD">
        <w:rPr>
          <w:rFonts w:ascii="Times New Roman" w:hAnsi="Times New Roman" w:cs="Times New Roman"/>
          <w:sz w:val="24"/>
          <w:szCs w:val="24"/>
          <w:lang w:val="en-GB"/>
        </w:rPr>
        <w:t>ukrust (Scandinavian)</w:t>
      </w:r>
      <w:r w:rsidR="002C65E6">
        <w:rPr>
          <w:rFonts w:ascii="Times New Roman" w:hAnsi="Times New Roman" w:cs="Times New Roman"/>
          <w:sz w:val="24"/>
          <w:szCs w:val="24"/>
          <w:lang w:val="en-GB"/>
        </w:rPr>
        <w:t xml:space="preserve"> model</w:t>
      </w:r>
      <w:r w:rsidR="00261B43">
        <w:rPr>
          <w:rFonts w:ascii="Times New Roman" w:hAnsi="Times New Roman" w:cs="Times New Roman"/>
          <w:sz w:val="24"/>
          <w:szCs w:val="24"/>
          <w:lang w:val="en-GB"/>
        </w:rPr>
        <w:t xml:space="preserve"> of wage formation</w:t>
      </w:r>
      <w:r w:rsidR="00077F74">
        <w:rPr>
          <w:rFonts w:ascii="Times New Roman" w:hAnsi="Times New Roman" w:cs="Times New Roman"/>
          <w:sz w:val="24"/>
          <w:szCs w:val="24"/>
          <w:lang w:val="en-GB"/>
        </w:rPr>
        <w:t xml:space="preserve"> (see Section 3)</w:t>
      </w:r>
      <w:r w:rsidR="00F57212">
        <w:rPr>
          <w:rFonts w:ascii="Times New Roman" w:hAnsi="Times New Roman" w:cs="Times New Roman"/>
          <w:sz w:val="24"/>
          <w:szCs w:val="24"/>
          <w:lang w:val="en-GB"/>
        </w:rPr>
        <w:t xml:space="preserve"> already</w:t>
      </w:r>
      <w:r w:rsidR="002C65E6">
        <w:rPr>
          <w:rFonts w:ascii="Times New Roman" w:hAnsi="Times New Roman" w:cs="Times New Roman"/>
          <w:sz w:val="24"/>
          <w:szCs w:val="24"/>
          <w:lang w:val="en-GB"/>
        </w:rPr>
        <w:t xml:space="preserve"> in the 19</w:t>
      </w:r>
      <w:r w:rsidR="00F57212">
        <w:rPr>
          <w:rFonts w:ascii="Times New Roman" w:hAnsi="Times New Roman" w:cs="Times New Roman"/>
          <w:sz w:val="24"/>
          <w:szCs w:val="24"/>
          <w:lang w:val="en-GB"/>
        </w:rPr>
        <w:t>6</w:t>
      </w:r>
      <w:r w:rsidR="00E3210A">
        <w:rPr>
          <w:rFonts w:ascii="Times New Roman" w:hAnsi="Times New Roman" w:cs="Times New Roman"/>
          <w:sz w:val="24"/>
          <w:szCs w:val="24"/>
          <w:lang w:val="en-GB"/>
        </w:rPr>
        <w:t>0s and</w:t>
      </w:r>
      <w:r w:rsidR="00077F74">
        <w:rPr>
          <w:rFonts w:ascii="Times New Roman" w:hAnsi="Times New Roman" w:cs="Times New Roman"/>
          <w:sz w:val="24"/>
          <w:szCs w:val="24"/>
          <w:lang w:val="en-GB"/>
        </w:rPr>
        <w:t xml:space="preserve"> </w:t>
      </w:r>
      <w:r w:rsidR="00812AA8">
        <w:rPr>
          <w:rFonts w:ascii="Times New Roman" w:hAnsi="Times New Roman" w:cs="Times New Roman"/>
          <w:sz w:val="24"/>
          <w:szCs w:val="24"/>
          <w:lang w:val="en-GB"/>
        </w:rPr>
        <w:t xml:space="preserve">has since </w:t>
      </w:r>
      <w:r w:rsidR="006D2C2D">
        <w:rPr>
          <w:rFonts w:ascii="Times New Roman" w:hAnsi="Times New Roman" w:cs="Times New Roman"/>
          <w:sz w:val="24"/>
          <w:szCs w:val="24"/>
          <w:lang w:val="en-GB"/>
        </w:rPr>
        <w:t>formed the basis for a broad consensus</w:t>
      </w:r>
      <w:r w:rsidR="002A05CD">
        <w:rPr>
          <w:rFonts w:ascii="Times New Roman" w:hAnsi="Times New Roman" w:cs="Times New Roman"/>
          <w:sz w:val="24"/>
          <w:szCs w:val="24"/>
          <w:lang w:val="en-GB"/>
        </w:rPr>
        <w:t xml:space="preserve"> on wage setting. </w:t>
      </w:r>
      <w:r w:rsidR="00FA0133">
        <w:rPr>
          <w:rFonts w:ascii="Times New Roman" w:hAnsi="Times New Roman" w:cs="Times New Roman"/>
          <w:sz w:val="24"/>
          <w:szCs w:val="24"/>
          <w:lang w:val="en-GB"/>
        </w:rPr>
        <w:t>From the</w:t>
      </w:r>
      <w:r w:rsidR="00AE4C42">
        <w:rPr>
          <w:rFonts w:ascii="Times New Roman" w:hAnsi="Times New Roman" w:cs="Times New Roman"/>
          <w:sz w:val="24"/>
          <w:szCs w:val="24"/>
          <w:lang w:val="en-GB"/>
        </w:rPr>
        <w:t xml:space="preserve"> 1970s to the end of the 1990</w:t>
      </w:r>
      <w:r w:rsidR="001A5ACA">
        <w:rPr>
          <w:rFonts w:ascii="Times New Roman" w:hAnsi="Times New Roman" w:cs="Times New Roman"/>
          <w:sz w:val="24"/>
          <w:szCs w:val="24"/>
          <w:lang w:val="en-GB"/>
        </w:rPr>
        <w:t>s</w:t>
      </w:r>
      <w:r w:rsidR="005A7FCE">
        <w:rPr>
          <w:rFonts w:ascii="Times New Roman" w:hAnsi="Times New Roman" w:cs="Times New Roman"/>
          <w:sz w:val="24"/>
          <w:szCs w:val="24"/>
          <w:lang w:val="en-GB"/>
        </w:rPr>
        <w:t xml:space="preserve">, </w:t>
      </w:r>
      <w:r w:rsidR="005A31CE">
        <w:rPr>
          <w:rFonts w:ascii="Times New Roman" w:hAnsi="Times New Roman" w:cs="Times New Roman"/>
          <w:sz w:val="24"/>
          <w:szCs w:val="24"/>
          <w:lang w:val="en-GB"/>
        </w:rPr>
        <w:t xml:space="preserve">this thinking exerted </w:t>
      </w:r>
      <w:r w:rsidR="00D45CEE">
        <w:rPr>
          <w:rFonts w:ascii="Times New Roman" w:hAnsi="Times New Roman" w:cs="Times New Roman"/>
          <w:sz w:val="24"/>
          <w:szCs w:val="24"/>
          <w:lang w:val="en-GB"/>
        </w:rPr>
        <w:t>its</w:t>
      </w:r>
      <w:r w:rsidR="005A31CE">
        <w:rPr>
          <w:rFonts w:ascii="Times New Roman" w:hAnsi="Times New Roman" w:cs="Times New Roman"/>
          <w:sz w:val="24"/>
          <w:szCs w:val="24"/>
          <w:lang w:val="en-GB"/>
        </w:rPr>
        <w:t xml:space="preserve"> influence </w:t>
      </w:r>
      <w:r w:rsidR="001F6836">
        <w:rPr>
          <w:rFonts w:ascii="Times New Roman" w:hAnsi="Times New Roman" w:cs="Times New Roman"/>
          <w:sz w:val="24"/>
          <w:szCs w:val="24"/>
          <w:lang w:val="en-GB"/>
        </w:rPr>
        <w:t>via economy-wide bargaining between peak</w:t>
      </w:r>
      <w:r w:rsidR="00D45CEE">
        <w:rPr>
          <w:rFonts w:ascii="Times New Roman" w:hAnsi="Times New Roman" w:cs="Times New Roman"/>
          <w:sz w:val="24"/>
          <w:szCs w:val="24"/>
          <w:lang w:val="en-GB"/>
        </w:rPr>
        <w:t xml:space="preserve"> </w:t>
      </w:r>
      <w:r w:rsidR="001F6836">
        <w:rPr>
          <w:rFonts w:ascii="Times New Roman" w:hAnsi="Times New Roman" w:cs="Times New Roman"/>
          <w:sz w:val="24"/>
          <w:szCs w:val="24"/>
          <w:lang w:val="en-GB"/>
        </w:rPr>
        <w:t>organisations</w:t>
      </w:r>
      <w:r w:rsidR="00486181">
        <w:rPr>
          <w:rFonts w:ascii="Times New Roman" w:hAnsi="Times New Roman" w:cs="Times New Roman"/>
          <w:sz w:val="24"/>
          <w:szCs w:val="24"/>
          <w:lang w:val="en-GB"/>
        </w:rPr>
        <w:t xml:space="preserve"> often with participation </w:t>
      </w:r>
      <w:r w:rsidR="000C1B69">
        <w:rPr>
          <w:rFonts w:ascii="Times New Roman" w:hAnsi="Times New Roman" w:cs="Times New Roman"/>
          <w:sz w:val="24"/>
          <w:szCs w:val="24"/>
          <w:lang w:val="en-GB"/>
        </w:rPr>
        <w:t>by</w:t>
      </w:r>
      <w:r w:rsidR="00125946">
        <w:rPr>
          <w:rFonts w:ascii="Times New Roman" w:hAnsi="Times New Roman" w:cs="Times New Roman"/>
          <w:sz w:val="24"/>
          <w:szCs w:val="24"/>
          <w:lang w:val="en-GB"/>
        </w:rPr>
        <w:t xml:space="preserve"> the government in comprehensive incomes policy settlements.</w:t>
      </w:r>
    </w:p>
    <w:p w14:paraId="66F1CFAD" w14:textId="6F238E7E" w:rsidR="000C1B69" w:rsidRDefault="007A3DC1" w:rsidP="002B532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Elements of incomes policy have </w:t>
      </w:r>
      <w:r w:rsidR="00CB1CD5">
        <w:rPr>
          <w:rFonts w:ascii="Times New Roman" w:hAnsi="Times New Roman" w:cs="Times New Roman"/>
          <w:sz w:val="24"/>
          <w:szCs w:val="24"/>
          <w:lang w:val="en-GB"/>
        </w:rPr>
        <w:t>been</w:t>
      </w:r>
      <w:r>
        <w:rPr>
          <w:rFonts w:ascii="Times New Roman" w:hAnsi="Times New Roman" w:cs="Times New Roman"/>
          <w:sz w:val="24"/>
          <w:szCs w:val="24"/>
          <w:lang w:val="en-GB"/>
        </w:rPr>
        <w:t xml:space="preserve"> less frequent </w:t>
      </w:r>
      <w:r w:rsidR="003D01CE">
        <w:rPr>
          <w:rFonts w:ascii="Times New Roman" w:hAnsi="Times New Roman" w:cs="Times New Roman"/>
          <w:sz w:val="24"/>
          <w:szCs w:val="24"/>
          <w:lang w:val="en-GB"/>
        </w:rPr>
        <w:t xml:space="preserve">after </w:t>
      </w:r>
      <w:r w:rsidR="00937F38">
        <w:rPr>
          <w:rFonts w:ascii="Times New Roman" w:hAnsi="Times New Roman" w:cs="Times New Roman"/>
          <w:sz w:val="24"/>
          <w:szCs w:val="24"/>
          <w:lang w:val="en-GB"/>
        </w:rPr>
        <w:t xml:space="preserve">the turn of the millennium. </w:t>
      </w:r>
      <w:r w:rsidR="007677B8">
        <w:rPr>
          <w:rFonts w:ascii="Times New Roman" w:hAnsi="Times New Roman" w:cs="Times New Roman"/>
          <w:sz w:val="24"/>
          <w:szCs w:val="24"/>
          <w:lang w:val="en-GB"/>
        </w:rPr>
        <w:t xml:space="preserve">Instead, </w:t>
      </w:r>
      <w:r w:rsidR="00CB1CD5">
        <w:rPr>
          <w:rFonts w:ascii="Times New Roman" w:hAnsi="Times New Roman" w:cs="Times New Roman"/>
          <w:sz w:val="24"/>
          <w:szCs w:val="24"/>
          <w:lang w:val="en-GB"/>
        </w:rPr>
        <w:t xml:space="preserve">wage bargaining </w:t>
      </w:r>
      <w:r w:rsidR="002C0C7C">
        <w:rPr>
          <w:rFonts w:ascii="Times New Roman" w:hAnsi="Times New Roman" w:cs="Times New Roman"/>
          <w:sz w:val="24"/>
          <w:szCs w:val="24"/>
          <w:lang w:val="en-GB"/>
        </w:rPr>
        <w:t xml:space="preserve">has become more structured </w:t>
      </w:r>
      <w:r w:rsidR="00B218BD">
        <w:rPr>
          <w:rFonts w:ascii="Times New Roman" w:hAnsi="Times New Roman" w:cs="Times New Roman"/>
          <w:sz w:val="24"/>
          <w:szCs w:val="24"/>
          <w:lang w:val="en-GB"/>
        </w:rPr>
        <w:t xml:space="preserve">along lines designed to strengthen </w:t>
      </w:r>
      <w:r w:rsidR="00A114B5">
        <w:rPr>
          <w:rFonts w:ascii="Times New Roman" w:hAnsi="Times New Roman" w:cs="Times New Roman"/>
          <w:sz w:val="24"/>
          <w:szCs w:val="24"/>
          <w:lang w:val="en-GB"/>
        </w:rPr>
        <w:t xml:space="preserve">the influence of the tradables sector on </w:t>
      </w:r>
      <w:r w:rsidR="00EC72E0">
        <w:rPr>
          <w:rFonts w:ascii="Times New Roman" w:hAnsi="Times New Roman" w:cs="Times New Roman"/>
          <w:sz w:val="24"/>
          <w:szCs w:val="24"/>
          <w:lang w:val="en-GB"/>
        </w:rPr>
        <w:t xml:space="preserve">wage setting. This has to a large extent </w:t>
      </w:r>
      <w:r w:rsidR="00DD7E97">
        <w:rPr>
          <w:rFonts w:ascii="Times New Roman" w:hAnsi="Times New Roman" w:cs="Times New Roman"/>
          <w:sz w:val="24"/>
          <w:szCs w:val="24"/>
          <w:lang w:val="en-GB"/>
        </w:rPr>
        <w:t xml:space="preserve">been achieved through consensus building between </w:t>
      </w:r>
      <w:r w:rsidR="004F7A56">
        <w:rPr>
          <w:rFonts w:ascii="Times New Roman" w:hAnsi="Times New Roman" w:cs="Times New Roman"/>
          <w:sz w:val="24"/>
          <w:szCs w:val="24"/>
          <w:lang w:val="en-GB"/>
        </w:rPr>
        <w:t xml:space="preserve">labour market organisations in </w:t>
      </w:r>
      <w:r w:rsidR="006762A9">
        <w:rPr>
          <w:rFonts w:ascii="Times New Roman" w:hAnsi="Times New Roman" w:cs="Times New Roman"/>
          <w:sz w:val="24"/>
          <w:szCs w:val="24"/>
          <w:lang w:val="en-GB"/>
        </w:rPr>
        <w:t>a series of government commissions</w:t>
      </w:r>
      <w:r w:rsidR="00975C5A">
        <w:rPr>
          <w:rFonts w:ascii="Times New Roman" w:hAnsi="Times New Roman" w:cs="Times New Roman"/>
          <w:sz w:val="24"/>
          <w:szCs w:val="24"/>
          <w:lang w:val="en-GB"/>
        </w:rPr>
        <w:t xml:space="preserve"> (headed by</w:t>
      </w:r>
      <w:r w:rsidR="00250694">
        <w:rPr>
          <w:rFonts w:ascii="Times New Roman" w:hAnsi="Times New Roman" w:cs="Times New Roman"/>
          <w:sz w:val="24"/>
          <w:szCs w:val="24"/>
          <w:lang w:val="en-GB"/>
        </w:rPr>
        <w:t xml:space="preserve"> and named after</w:t>
      </w:r>
      <w:r w:rsidR="00975C5A">
        <w:rPr>
          <w:rFonts w:ascii="Times New Roman" w:hAnsi="Times New Roman" w:cs="Times New Roman"/>
          <w:sz w:val="24"/>
          <w:szCs w:val="24"/>
          <w:lang w:val="en-GB"/>
        </w:rPr>
        <w:t xml:space="preserve"> </w:t>
      </w:r>
      <w:r w:rsidR="00250694">
        <w:rPr>
          <w:rFonts w:ascii="Times New Roman" w:hAnsi="Times New Roman" w:cs="Times New Roman"/>
          <w:sz w:val="24"/>
          <w:szCs w:val="24"/>
          <w:lang w:val="en-GB"/>
        </w:rPr>
        <w:t>professor Steinar Holden</w:t>
      </w:r>
      <w:r w:rsidR="000F3372">
        <w:rPr>
          <w:rFonts w:ascii="Times New Roman" w:hAnsi="Times New Roman" w:cs="Times New Roman"/>
          <w:sz w:val="24"/>
          <w:szCs w:val="24"/>
          <w:lang w:val="en-GB"/>
        </w:rPr>
        <w:t>).</w:t>
      </w:r>
      <w:r w:rsidR="000F3372">
        <w:rPr>
          <w:rStyle w:val="FootnoteReference"/>
          <w:rFonts w:ascii="Times New Roman" w:hAnsi="Times New Roman" w:cs="Times New Roman"/>
          <w:sz w:val="24"/>
          <w:szCs w:val="24"/>
          <w:lang w:val="en-GB"/>
        </w:rPr>
        <w:footnoteReference w:id="7"/>
      </w:r>
    </w:p>
    <w:p w14:paraId="4A618BE5" w14:textId="471AFFE1" w:rsidR="00222145" w:rsidRDefault="00BB715C" w:rsidP="002B532D">
      <w:pPr>
        <w:spacing w:line="360" w:lineRule="auto"/>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So called </w:t>
      </w:r>
      <w:r w:rsidR="00D24FAF">
        <w:rPr>
          <w:rFonts w:ascii="Times New Roman" w:hAnsi="Times New Roman" w:cs="Times New Roman"/>
          <w:sz w:val="24"/>
          <w:szCs w:val="24"/>
          <w:lang w:val="en-GB"/>
        </w:rPr>
        <w:t>head agreements</w:t>
      </w:r>
      <w:r w:rsidR="0048115F">
        <w:rPr>
          <w:rFonts w:ascii="Times New Roman" w:hAnsi="Times New Roman" w:cs="Times New Roman"/>
          <w:sz w:val="24"/>
          <w:szCs w:val="24"/>
          <w:lang w:val="en-GB"/>
        </w:rPr>
        <w:t xml:space="preserve"> (</w:t>
      </w:r>
      <w:r w:rsidR="0048115F">
        <w:rPr>
          <w:rFonts w:ascii="Times New Roman" w:hAnsi="Times New Roman" w:cs="Times New Roman"/>
          <w:i/>
          <w:iCs/>
          <w:sz w:val="24"/>
          <w:szCs w:val="24"/>
          <w:lang w:val="en-GB"/>
        </w:rPr>
        <w:t>hovedoppgj</w:t>
      </w:r>
      <w:r w:rsidR="002D2CD6" w:rsidRPr="002D2CD6">
        <w:rPr>
          <w:rFonts w:ascii="Times New Roman" w:hAnsi="Times New Roman" w:cs="Times New Roman"/>
          <w:i/>
          <w:iCs/>
          <w:sz w:val="24"/>
          <w:szCs w:val="24"/>
          <w:lang w:val="en-GB"/>
        </w:rPr>
        <w:t>ør</w:t>
      </w:r>
      <w:r w:rsidR="002D2CD6">
        <w:rPr>
          <w:rFonts w:ascii="Times New Roman" w:hAnsi="Times New Roman" w:cs="Times New Roman"/>
          <w:i/>
          <w:iCs/>
          <w:sz w:val="24"/>
          <w:szCs w:val="24"/>
          <w:lang w:val="en-GB"/>
        </w:rPr>
        <w:t>)</w:t>
      </w:r>
      <w:r w:rsidR="00D24FAF">
        <w:rPr>
          <w:rFonts w:ascii="Times New Roman" w:hAnsi="Times New Roman" w:cs="Times New Roman"/>
          <w:sz w:val="24"/>
          <w:szCs w:val="24"/>
          <w:lang w:val="en-GB"/>
        </w:rPr>
        <w:t xml:space="preserve">, </w:t>
      </w:r>
      <w:r w:rsidR="0048115F">
        <w:rPr>
          <w:rFonts w:ascii="Times New Roman" w:hAnsi="Times New Roman" w:cs="Times New Roman"/>
          <w:sz w:val="24"/>
          <w:szCs w:val="24"/>
          <w:lang w:val="en-GB"/>
        </w:rPr>
        <w:t>on both wages and ot</w:t>
      </w:r>
      <w:r w:rsidR="008D174A">
        <w:rPr>
          <w:rFonts w:ascii="Times New Roman" w:hAnsi="Times New Roman" w:cs="Times New Roman"/>
          <w:sz w:val="24"/>
          <w:szCs w:val="24"/>
          <w:lang w:val="en-GB"/>
        </w:rPr>
        <w:t>her</w:t>
      </w:r>
      <w:r w:rsidR="0048115F">
        <w:rPr>
          <w:rFonts w:ascii="Times New Roman" w:hAnsi="Times New Roman" w:cs="Times New Roman"/>
          <w:sz w:val="24"/>
          <w:szCs w:val="24"/>
          <w:lang w:val="en-GB"/>
        </w:rPr>
        <w:t xml:space="preserve"> issues,</w:t>
      </w:r>
      <w:r w:rsidR="006B6588">
        <w:rPr>
          <w:rFonts w:ascii="Times New Roman" w:hAnsi="Times New Roman" w:cs="Times New Roman"/>
          <w:sz w:val="24"/>
          <w:szCs w:val="24"/>
          <w:lang w:val="en-GB"/>
        </w:rPr>
        <w:t xml:space="preserve"> are for two years.</w:t>
      </w:r>
      <w:r w:rsidR="00177F1B">
        <w:rPr>
          <w:rFonts w:ascii="Times New Roman" w:hAnsi="Times New Roman" w:cs="Times New Roman"/>
          <w:sz w:val="24"/>
          <w:szCs w:val="24"/>
          <w:lang w:val="en-GB"/>
        </w:rPr>
        <w:t xml:space="preserve"> Bargaining </w:t>
      </w:r>
      <w:r w:rsidR="00810159">
        <w:rPr>
          <w:rFonts w:ascii="Times New Roman" w:hAnsi="Times New Roman" w:cs="Times New Roman"/>
          <w:sz w:val="24"/>
          <w:szCs w:val="24"/>
          <w:lang w:val="en-GB"/>
        </w:rPr>
        <w:t>is</w:t>
      </w:r>
      <w:r w:rsidR="00177F1B">
        <w:rPr>
          <w:rFonts w:ascii="Times New Roman" w:hAnsi="Times New Roman" w:cs="Times New Roman"/>
          <w:sz w:val="24"/>
          <w:szCs w:val="24"/>
          <w:lang w:val="en-GB"/>
        </w:rPr>
        <w:t xml:space="preserve"> eit</w:t>
      </w:r>
      <w:r w:rsidR="008D174A">
        <w:rPr>
          <w:rFonts w:ascii="Times New Roman" w:hAnsi="Times New Roman" w:cs="Times New Roman"/>
          <w:sz w:val="24"/>
          <w:szCs w:val="24"/>
          <w:lang w:val="en-GB"/>
        </w:rPr>
        <w:t>her</w:t>
      </w:r>
      <w:r w:rsidR="00177F1B">
        <w:rPr>
          <w:rFonts w:ascii="Times New Roman" w:hAnsi="Times New Roman" w:cs="Times New Roman"/>
          <w:sz w:val="24"/>
          <w:szCs w:val="24"/>
          <w:lang w:val="en-GB"/>
        </w:rPr>
        <w:t xml:space="preserve"> at </w:t>
      </w:r>
      <w:r w:rsidR="0040603D">
        <w:rPr>
          <w:rFonts w:ascii="Times New Roman" w:hAnsi="Times New Roman" w:cs="Times New Roman"/>
          <w:sz w:val="24"/>
          <w:szCs w:val="24"/>
          <w:lang w:val="en-GB"/>
        </w:rPr>
        <w:t xml:space="preserve">industry or peak level, although the former </w:t>
      </w:r>
      <w:r w:rsidR="00FA5B3E">
        <w:rPr>
          <w:rFonts w:ascii="Times New Roman" w:hAnsi="Times New Roman" w:cs="Times New Roman"/>
          <w:sz w:val="24"/>
          <w:szCs w:val="24"/>
          <w:lang w:val="en-GB"/>
        </w:rPr>
        <w:t xml:space="preserve">dominates. Then the first </w:t>
      </w:r>
      <w:r w:rsidR="005E7635">
        <w:rPr>
          <w:rFonts w:ascii="Times New Roman" w:hAnsi="Times New Roman" w:cs="Times New Roman"/>
          <w:sz w:val="24"/>
          <w:szCs w:val="24"/>
          <w:lang w:val="en-GB"/>
        </w:rPr>
        <w:lastRenderedPageBreak/>
        <w:t>agreement</w:t>
      </w:r>
      <w:r w:rsidR="00056F9E">
        <w:rPr>
          <w:rFonts w:ascii="Times New Roman" w:hAnsi="Times New Roman" w:cs="Times New Roman"/>
          <w:sz w:val="24"/>
          <w:szCs w:val="24"/>
          <w:lang w:val="en-GB"/>
        </w:rPr>
        <w:t>s</w:t>
      </w:r>
      <w:r w:rsidR="005E7635">
        <w:rPr>
          <w:rFonts w:ascii="Times New Roman" w:hAnsi="Times New Roman" w:cs="Times New Roman"/>
          <w:sz w:val="24"/>
          <w:szCs w:val="24"/>
          <w:lang w:val="en-GB"/>
        </w:rPr>
        <w:t xml:space="preserve"> </w:t>
      </w:r>
      <w:r w:rsidR="00056F9E">
        <w:rPr>
          <w:rFonts w:ascii="Times New Roman" w:hAnsi="Times New Roman" w:cs="Times New Roman"/>
          <w:sz w:val="24"/>
          <w:szCs w:val="24"/>
          <w:lang w:val="en-GB"/>
        </w:rPr>
        <w:t>are</w:t>
      </w:r>
      <w:r w:rsidR="005E7635">
        <w:rPr>
          <w:rFonts w:ascii="Times New Roman" w:hAnsi="Times New Roman" w:cs="Times New Roman"/>
          <w:sz w:val="24"/>
          <w:szCs w:val="24"/>
          <w:lang w:val="en-GB"/>
        </w:rPr>
        <w:t xml:space="preserve"> struck</w:t>
      </w:r>
      <w:r w:rsidR="009A4EBB">
        <w:rPr>
          <w:rFonts w:ascii="Times New Roman" w:hAnsi="Times New Roman" w:cs="Times New Roman"/>
          <w:sz w:val="24"/>
          <w:szCs w:val="24"/>
          <w:lang w:val="en-GB"/>
        </w:rPr>
        <w:t xml:space="preserve"> in manufacturing</w:t>
      </w:r>
      <w:r w:rsidR="005E7635">
        <w:rPr>
          <w:rFonts w:ascii="Times New Roman" w:hAnsi="Times New Roman" w:cs="Times New Roman"/>
          <w:sz w:val="24"/>
          <w:szCs w:val="24"/>
          <w:lang w:val="en-GB"/>
        </w:rPr>
        <w:t xml:space="preserve"> between</w:t>
      </w:r>
      <w:r w:rsidR="007512C5">
        <w:rPr>
          <w:rFonts w:ascii="Times New Roman" w:hAnsi="Times New Roman" w:cs="Times New Roman"/>
          <w:sz w:val="24"/>
          <w:szCs w:val="24"/>
          <w:lang w:val="en-GB"/>
        </w:rPr>
        <w:t>,</w:t>
      </w:r>
      <w:r w:rsidR="00B9089D">
        <w:rPr>
          <w:rFonts w:ascii="Times New Roman" w:hAnsi="Times New Roman" w:cs="Times New Roman"/>
          <w:sz w:val="24"/>
          <w:szCs w:val="24"/>
          <w:lang w:val="en-GB"/>
        </w:rPr>
        <w:t xml:space="preserve"> </w:t>
      </w:r>
      <w:r w:rsidR="0060775A">
        <w:rPr>
          <w:rFonts w:ascii="Times New Roman" w:hAnsi="Times New Roman" w:cs="Times New Roman"/>
          <w:sz w:val="24"/>
          <w:szCs w:val="24"/>
          <w:lang w:val="en-GB"/>
        </w:rPr>
        <w:t>on the one hand</w:t>
      </w:r>
      <w:r w:rsidR="007512C5">
        <w:rPr>
          <w:rFonts w:ascii="Times New Roman" w:hAnsi="Times New Roman" w:cs="Times New Roman"/>
          <w:sz w:val="24"/>
          <w:szCs w:val="24"/>
          <w:lang w:val="en-GB"/>
        </w:rPr>
        <w:t>,</w:t>
      </w:r>
      <w:r w:rsidR="0060775A">
        <w:rPr>
          <w:rFonts w:ascii="Times New Roman" w:hAnsi="Times New Roman" w:cs="Times New Roman"/>
          <w:sz w:val="24"/>
          <w:szCs w:val="24"/>
          <w:lang w:val="en-GB"/>
        </w:rPr>
        <w:t xml:space="preserve"> </w:t>
      </w:r>
      <w:r w:rsidR="009A4EBB">
        <w:rPr>
          <w:rFonts w:ascii="Times New Roman" w:hAnsi="Times New Roman" w:cs="Times New Roman"/>
          <w:sz w:val="24"/>
          <w:szCs w:val="24"/>
          <w:lang w:val="en-GB"/>
        </w:rPr>
        <w:t xml:space="preserve">the </w:t>
      </w:r>
      <w:r w:rsidR="009F37E1">
        <w:rPr>
          <w:rFonts w:ascii="Times New Roman" w:hAnsi="Times New Roman" w:cs="Times New Roman"/>
          <w:sz w:val="24"/>
          <w:szCs w:val="24"/>
          <w:lang w:val="en-GB"/>
        </w:rPr>
        <w:t>Federation of Norwegian Industries</w:t>
      </w:r>
      <w:r w:rsidR="00053E88">
        <w:rPr>
          <w:rFonts w:ascii="Times New Roman" w:hAnsi="Times New Roman" w:cs="Times New Roman"/>
          <w:sz w:val="24"/>
          <w:szCs w:val="24"/>
          <w:lang w:val="en-GB"/>
        </w:rPr>
        <w:t xml:space="preserve"> (</w:t>
      </w:r>
      <w:r w:rsidR="00053E88">
        <w:rPr>
          <w:rFonts w:ascii="Times New Roman" w:hAnsi="Times New Roman" w:cs="Times New Roman"/>
          <w:i/>
          <w:iCs/>
          <w:sz w:val="24"/>
          <w:szCs w:val="24"/>
          <w:lang w:val="en-GB"/>
        </w:rPr>
        <w:t>Norsk Industri</w:t>
      </w:r>
      <w:r w:rsidR="00053E88">
        <w:rPr>
          <w:rFonts w:ascii="Times New Roman" w:hAnsi="Times New Roman" w:cs="Times New Roman"/>
          <w:sz w:val="24"/>
          <w:szCs w:val="24"/>
          <w:lang w:val="en-GB"/>
        </w:rPr>
        <w:t>)</w:t>
      </w:r>
      <w:r w:rsidR="004F4F6B">
        <w:rPr>
          <w:rFonts w:ascii="Times New Roman" w:hAnsi="Times New Roman" w:cs="Times New Roman"/>
          <w:sz w:val="24"/>
          <w:szCs w:val="24"/>
          <w:lang w:val="en-GB"/>
        </w:rPr>
        <w:t xml:space="preserve">, the largest </w:t>
      </w:r>
      <w:r w:rsidR="00037E07">
        <w:rPr>
          <w:rFonts w:ascii="Times New Roman" w:hAnsi="Times New Roman" w:cs="Times New Roman"/>
          <w:sz w:val="24"/>
          <w:szCs w:val="24"/>
          <w:lang w:val="en-GB"/>
        </w:rPr>
        <w:t xml:space="preserve">member organisation in </w:t>
      </w:r>
      <w:r w:rsidR="00342026">
        <w:rPr>
          <w:rFonts w:ascii="Times New Roman" w:hAnsi="Times New Roman" w:cs="Times New Roman"/>
          <w:sz w:val="24"/>
          <w:szCs w:val="24"/>
          <w:lang w:val="en-GB"/>
        </w:rPr>
        <w:t xml:space="preserve">the private-sector </w:t>
      </w:r>
      <w:r w:rsidR="000525A4">
        <w:rPr>
          <w:rFonts w:ascii="Times New Roman" w:hAnsi="Times New Roman" w:cs="Times New Roman"/>
          <w:sz w:val="24"/>
          <w:szCs w:val="24"/>
          <w:lang w:val="en-GB"/>
        </w:rPr>
        <w:t xml:space="preserve">peak organisation for employers, </w:t>
      </w:r>
      <w:r w:rsidR="000525A4">
        <w:rPr>
          <w:rFonts w:ascii="Times New Roman" w:hAnsi="Times New Roman" w:cs="Times New Roman"/>
          <w:i/>
          <w:iCs/>
          <w:sz w:val="24"/>
          <w:szCs w:val="24"/>
          <w:lang w:val="en-GB"/>
        </w:rPr>
        <w:t>NHO</w:t>
      </w:r>
      <w:r w:rsidR="000525A4">
        <w:rPr>
          <w:rFonts w:ascii="Times New Roman" w:hAnsi="Times New Roman" w:cs="Times New Roman"/>
          <w:sz w:val="24"/>
          <w:szCs w:val="24"/>
          <w:lang w:val="en-GB"/>
        </w:rPr>
        <w:t>,</w:t>
      </w:r>
      <w:r w:rsidR="00985B6B">
        <w:rPr>
          <w:rFonts w:ascii="Times New Roman" w:hAnsi="Times New Roman" w:cs="Times New Roman"/>
          <w:sz w:val="24"/>
          <w:szCs w:val="24"/>
          <w:lang w:val="en-GB"/>
        </w:rPr>
        <w:t xml:space="preserve"> and, on the ot</w:t>
      </w:r>
      <w:r w:rsidR="008D174A">
        <w:rPr>
          <w:rFonts w:ascii="Times New Roman" w:hAnsi="Times New Roman" w:cs="Times New Roman"/>
          <w:sz w:val="24"/>
          <w:szCs w:val="24"/>
          <w:lang w:val="en-GB"/>
        </w:rPr>
        <w:t>her</w:t>
      </w:r>
      <w:r w:rsidR="00985B6B">
        <w:rPr>
          <w:rFonts w:ascii="Times New Roman" w:hAnsi="Times New Roman" w:cs="Times New Roman"/>
          <w:sz w:val="24"/>
          <w:szCs w:val="24"/>
          <w:lang w:val="en-GB"/>
        </w:rPr>
        <w:t xml:space="preserve"> hand</w:t>
      </w:r>
      <w:r w:rsidR="000525A4">
        <w:rPr>
          <w:rFonts w:ascii="Times New Roman" w:hAnsi="Times New Roman" w:cs="Times New Roman"/>
          <w:sz w:val="24"/>
          <w:szCs w:val="24"/>
          <w:lang w:val="en-GB"/>
        </w:rPr>
        <w:t xml:space="preserve">, </w:t>
      </w:r>
      <w:r w:rsidR="004723D4">
        <w:rPr>
          <w:rFonts w:ascii="Times New Roman" w:hAnsi="Times New Roman" w:cs="Times New Roman"/>
          <w:sz w:val="24"/>
          <w:szCs w:val="24"/>
          <w:lang w:val="en-GB"/>
        </w:rPr>
        <w:t xml:space="preserve">two </w:t>
      </w:r>
      <w:r w:rsidR="00E03A0E">
        <w:rPr>
          <w:rFonts w:ascii="Times New Roman" w:hAnsi="Times New Roman" w:cs="Times New Roman"/>
          <w:sz w:val="24"/>
          <w:szCs w:val="24"/>
          <w:lang w:val="en-GB"/>
        </w:rPr>
        <w:t xml:space="preserve">trade unions, </w:t>
      </w:r>
      <w:r w:rsidR="00A11F9A">
        <w:rPr>
          <w:rFonts w:ascii="Times New Roman" w:hAnsi="Times New Roman" w:cs="Times New Roman"/>
          <w:i/>
          <w:iCs/>
          <w:sz w:val="24"/>
          <w:szCs w:val="24"/>
          <w:lang w:val="en-GB"/>
        </w:rPr>
        <w:t>Fellesforbundet</w:t>
      </w:r>
      <w:r w:rsidR="003C53BD">
        <w:rPr>
          <w:rFonts w:ascii="Times New Roman" w:hAnsi="Times New Roman" w:cs="Times New Roman"/>
          <w:i/>
          <w:iCs/>
          <w:sz w:val="24"/>
          <w:szCs w:val="24"/>
          <w:lang w:val="en-GB"/>
        </w:rPr>
        <w:t xml:space="preserve"> </w:t>
      </w:r>
      <w:r w:rsidR="00CA0F53">
        <w:rPr>
          <w:rFonts w:ascii="Times New Roman" w:hAnsi="Times New Roman" w:cs="Times New Roman"/>
          <w:sz w:val="24"/>
          <w:szCs w:val="24"/>
          <w:lang w:val="en-GB"/>
        </w:rPr>
        <w:t>(the second largest member organisation</w:t>
      </w:r>
      <w:r w:rsidR="00311103">
        <w:rPr>
          <w:rFonts w:ascii="Times New Roman" w:hAnsi="Times New Roman" w:cs="Times New Roman"/>
          <w:sz w:val="24"/>
          <w:szCs w:val="24"/>
          <w:lang w:val="en-GB"/>
        </w:rPr>
        <w:t xml:space="preserve"> in</w:t>
      </w:r>
      <w:r w:rsidR="001228FB">
        <w:rPr>
          <w:rFonts w:ascii="Times New Roman" w:hAnsi="Times New Roman" w:cs="Times New Roman"/>
          <w:sz w:val="24"/>
          <w:szCs w:val="24"/>
          <w:lang w:val="en-GB"/>
        </w:rPr>
        <w:t xml:space="preserve"> the peak organisation for mainly blue-collar workers,</w:t>
      </w:r>
      <w:r w:rsidR="00311103">
        <w:rPr>
          <w:rFonts w:ascii="Times New Roman" w:hAnsi="Times New Roman" w:cs="Times New Roman"/>
          <w:sz w:val="24"/>
          <w:szCs w:val="24"/>
          <w:lang w:val="en-GB"/>
        </w:rPr>
        <w:t xml:space="preserve"> </w:t>
      </w:r>
      <w:r w:rsidR="00311103" w:rsidRPr="001B312D">
        <w:rPr>
          <w:rFonts w:ascii="Times New Roman" w:hAnsi="Times New Roman" w:cs="Times New Roman"/>
          <w:i/>
          <w:iCs/>
          <w:sz w:val="24"/>
          <w:szCs w:val="24"/>
          <w:lang w:val="en-GB"/>
        </w:rPr>
        <w:t>LO</w:t>
      </w:r>
      <w:r w:rsidR="00CF02DA">
        <w:rPr>
          <w:rFonts w:ascii="Times New Roman" w:hAnsi="Times New Roman" w:cs="Times New Roman"/>
          <w:sz w:val="24"/>
          <w:szCs w:val="24"/>
          <w:lang w:val="en-GB"/>
        </w:rPr>
        <w:t>)</w:t>
      </w:r>
      <w:r w:rsidR="00A11F9A">
        <w:rPr>
          <w:rFonts w:ascii="Times New Roman" w:hAnsi="Times New Roman" w:cs="Times New Roman"/>
          <w:i/>
          <w:iCs/>
          <w:sz w:val="24"/>
          <w:szCs w:val="24"/>
          <w:lang w:val="en-GB"/>
        </w:rPr>
        <w:t xml:space="preserve"> </w:t>
      </w:r>
      <w:r w:rsidR="00A11F9A">
        <w:rPr>
          <w:rFonts w:ascii="Times New Roman" w:hAnsi="Times New Roman" w:cs="Times New Roman"/>
          <w:sz w:val="24"/>
          <w:szCs w:val="24"/>
          <w:lang w:val="en-GB"/>
        </w:rPr>
        <w:t xml:space="preserve">and </w:t>
      </w:r>
      <w:r w:rsidR="00A11F9A">
        <w:rPr>
          <w:rFonts w:ascii="Times New Roman" w:hAnsi="Times New Roman" w:cs="Times New Roman"/>
          <w:i/>
          <w:iCs/>
          <w:sz w:val="24"/>
          <w:szCs w:val="24"/>
          <w:lang w:val="en-GB"/>
        </w:rPr>
        <w:t>Parat</w:t>
      </w:r>
      <w:r w:rsidR="0030301A">
        <w:rPr>
          <w:rFonts w:ascii="Times New Roman" w:hAnsi="Times New Roman" w:cs="Times New Roman"/>
          <w:i/>
          <w:iCs/>
          <w:sz w:val="24"/>
          <w:szCs w:val="24"/>
          <w:lang w:val="en-GB"/>
        </w:rPr>
        <w:t xml:space="preserve"> </w:t>
      </w:r>
      <w:r w:rsidR="0030301A">
        <w:rPr>
          <w:rFonts w:ascii="Times New Roman" w:hAnsi="Times New Roman" w:cs="Times New Roman"/>
          <w:sz w:val="24"/>
          <w:szCs w:val="24"/>
          <w:lang w:val="en-GB"/>
        </w:rPr>
        <w:t>(the largest member organisation</w:t>
      </w:r>
      <w:r w:rsidR="00AF44A2">
        <w:rPr>
          <w:rFonts w:ascii="Times New Roman" w:hAnsi="Times New Roman" w:cs="Times New Roman"/>
          <w:sz w:val="24"/>
          <w:szCs w:val="24"/>
          <w:lang w:val="en-GB"/>
        </w:rPr>
        <w:t xml:space="preserve"> in</w:t>
      </w:r>
      <w:r w:rsidR="00CF37F6">
        <w:rPr>
          <w:rFonts w:ascii="Times New Roman" w:hAnsi="Times New Roman" w:cs="Times New Roman"/>
          <w:sz w:val="24"/>
          <w:szCs w:val="24"/>
          <w:lang w:val="en-GB"/>
        </w:rPr>
        <w:t xml:space="preserve"> the </w:t>
      </w:r>
      <w:r w:rsidR="00045F1D">
        <w:rPr>
          <w:rFonts w:ascii="Times New Roman" w:hAnsi="Times New Roman" w:cs="Times New Roman"/>
          <w:sz w:val="24"/>
          <w:szCs w:val="24"/>
          <w:lang w:val="en-GB"/>
        </w:rPr>
        <w:t>peak organisation for white-collar worke</w:t>
      </w:r>
      <w:r w:rsidR="004A561A">
        <w:rPr>
          <w:rFonts w:ascii="Times New Roman" w:hAnsi="Times New Roman" w:cs="Times New Roman"/>
          <w:sz w:val="24"/>
          <w:szCs w:val="24"/>
          <w:lang w:val="en-GB"/>
        </w:rPr>
        <w:t xml:space="preserve">rs, </w:t>
      </w:r>
      <w:r w:rsidR="00CF37F6">
        <w:rPr>
          <w:rFonts w:ascii="Times New Roman" w:hAnsi="Times New Roman" w:cs="Times New Roman"/>
          <w:i/>
          <w:iCs/>
          <w:sz w:val="24"/>
          <w:szCs w:val="24"/>
          <w:lang w:val="en-GB"/>
        </w:rPr>
        <w:t>YS</w:t>
      </w:r>
      <w:r w:rsidR="00CF37F6">
        <w:rPr>
          <w:rFonts w:ascii="Times New Roman" w:hAnsi="Times New Roman" w:cs="Times New Roman"/>
          <w:sz w:val="24"/>
          <w:szCs w:val="24"/>
          <w:lang w:val="en-GB"/>
        </w:rPr>
        <w:t>, the Confederation</w:t>
      </w:r>
      <w:r w:rsidR="004A561A">
        <w:rPr>
          <w:rFonts w:ascii="Times New Roman" w:hAnsi="Times New Roman" w:cs="Times New Roman"/>
          <w:sz w:val="24"/>
          <w:szCs w:val="24"/>
          <w:lang w:val="en-GB"/>
        </w:rPr>
        <w:t xml:space="preserve"> of Professional Unions)</w:t>
      </w:r>
      <w:r w:rsidR="00A11F9A">
        <w:rPr>
          <w:rFonts w:ascii="Times New Roman" w:hAnsi="Times New Roman" w:cs="Times New Roman"/>
          <w:sz w:val="24"/>
          <w:szCs w:val="24"/>
          <w:lang w:val="en-GB"/>
        </w:rPr>
        <w:t>.</w:t>
      </w:r>
      <w:r w:rsidR="00985B6B">
        <w:rPr>
          <w:rFonts w:ascii="Times New Roman" w:hAnsi="Times New Roman" w:cs="Times New Roman"/>
          <w:sz w:val="24"/>
          <w:szCs w:val="24"/>
          <w:lang w:val="en-GB"/>
        </w:rPr>
        <w:t xml:space="preserve"> </w:t>
      </w:r>
      <w:r w:rsidR="00625F17">
        <w:rPr>
          <w:rFonts w:ascii="Times New Roman" w:hAnsi="Times New Roman" w:cs="Times New Roman"/>
          <w:sz w:val="24"/>
          <w:szCs w:val="24"/>
          <w:lang w:val="en-GB"/>
        </w:rPr>
        <w:t xml:space="preserve">Alternatively, </w:t>
      </w:r>
      <w:r w:rsidR="008224A6">
        <w:rPr>
          <w:rFonts w:ascii="Times New Roman" w:hAnsi="Times New Roman" w:cs="Times New Roman"/>
          <w:sz w:val="24"/>
          <w:szCs w:val="24"/>
          <w:lang w:val="en-GB"/>
        </w:rPr>
        <w:t xml:space="preserve">the first </w:t>
      </w:r>
      <w:r w:rsidR="00FC50B8">
        <w:rPr>
          <w:rFonts w:ascii="Times New Roman" w:hAnsi="Times New Roman" w:cs="Times New Roman"/>
          <w:sz w:val="24"/>
          <w:szCs w:val="24"/>
          <w:lang w:val="en-GB"/>
        </w:rPr>
        <w:t xml:space="preserve">head </w:t>
      </w:r>
      <w:r w:rsidR="008224A6">
        <w:rPr>
          <w:rFonts w:ascii="Times New Roman" w:hAnsi="Times New Roman" w:cs="Times New Roman"/>
          <w:sz w:val="24"/>
          <w:szCs w:val="24"/>
          <w:lang w:val="en-GB"/>
        </w:rPr>
        <w:t xml:space="preserve">agreements </w:t>
      </w:r>
      <w:r w:rsidR="003A00B2">
        <w:rPr>
          <w:rFonts w:ascii="Times New Roman" w:hAnsi="Times New Roman" w:cs="Times New Roman"/>
          <w:sz w:val="24"/>
          <w:szCs w:val="24"/>
          <w:lang w:val="en-GB"/>
        </w:rPr>
        <w:t>are</w:t>
      </w:r>
      <w:r w:rsidR="008224A6">
        <w:rPr>
          <w:rFonts w:ascii="Times New Roman" w:hAnsi="Times New Roman" w:cs="Times New Roman"/>
          <w:sz w:val="24"/>
          <w:szCs w:val="24"/>
          <w:lang w:val="en-GB"/>
        </w:rPr>
        <w:t xml:space="preserve"> concluded between</w:t>
      </w:r>
      <w:r w:rsidR="006041FE">
        <w:rPr>
          <w:rFonts w:ascii="Times New Roman" w:hAnsi="Times New Roman" w:cs="Times New Roman"/>
          <w:sz w:val="24"/>
          <w:szCs w:val="24"/>
          <w:lang w:val="en-GB"/>
        </w:rPr>
        <w:t xml:space="preserve"> the peak organisations</w:t>
      </w:r>
      <w:r w:rsidR="008224A6">
        <w:rPr>
          <w:rFonts w:ascii="Times New Roman" w:hAnsi="Times New Roman" w:cs="Times New Roman"/>
          <w:sz w:val="24"/>
          <w:szCs w:val="24"/>
          <w:lang w:val="en-GB"/>
        </w:rPr>
        <w:t xml:space="preserve"> </w:t>
      </w:r>
      <w:r w:rsidR="008F0F7F">
        <w:rPr>
          <w:rFonts w:ascii="Times New Roman" w:hAnsi="Times New Roman" w:cs="Times New Roman"/>
          <w:i/>
          <w:iCs/>
          <w:sz w:val="24"/>
          <w:szCs w:val="24"/>
          <w:lang w:val="en-GB"/>
        </w:rPr>
        <w:t xml:space="preserve">NHO </w:t>
      </w:r>
      <w:r w:rsidR="00BD7E9F">
        <w:rPr>
          <w:rFonts w:ascii="Times New Roman" w:hAnsi="Times New Roman" w:cs="Times New Roman"/>
          <w:sz w:val="24"/>
          <w:szCs w:val="24"/>
          <w:lang w:val="en-GB"/>
        </w:rPr>
        <w:t xml:space="preserve">and </w:t>
      </w:r>
      <w:r w:rsidR="00BD7E9F" w:rsidRPr="00F64D91">
        <w:rPr>
          <w:rFonts w:ascii="Times New Roman" w:hAnsi="Times New Roman" w:cs="Times New Roman"/>
          <w:i/>
          <w:iCs/>
          <w:sz w:val="24"/>
          <w:szCs w:val="24"/>
          <w:lang w:val="en-GB"/>
        </w:rPr>
        <w:t>LO</w:t>
      </w:r>
      <w:r w:rsidR="00BD7E9F">
        <w:rPr>
          <w:rFonts w:ascii="Times New Roman" w:hAnsi="Times New Roman" w:cs="Times New Roman"/>
          <w:sz w:val="24"/>
          <w:szCs w:val="24"/>
          <w:lang w:val="en-GB"/>
        </w:rPr>
        <w:t xml:space="preserve"> and between </w:t>
      </w:r>
      <w:r w:rsidR="00BD7E9F">
        <w:rPr>
          <w:rFonts w:ascii="Times New Roman" w:hAnsi="Times New Roman" w:cs="Times New Roman"/>
          <w:i/>
          <w:iCs/>
          <w:sz w:val="24"/>
          <w:szCs w:val="24"/>
          <w:lang w:val="en-GB"/>
        </w:rPr>
        <w:t xml:space="preserve">NHO </w:t>
      </w:r>
      <w:r w:rsidR="00BD7E9F">
        <w:rPr>
          <w:rFonts w:ascii="Times New Roman" w:hAnsi="Times New Roman" w:cs="Times New Roman"/>
          <w:sz w:val="24"/>
          <w:szCs w:val="24"/>
          <w:lang w:val="en-GB"/>
        </w:rPr>
        <w:t xml:space="preserve">and </w:t>
      </w:r>
      <w:r w:rsidR="00BD7E9F">
        <w:rPr>
          <w:rFonts w:ascii="Times New Roman" w:hAnsi="Times New Roman" w:cs="Times New Roman"/>
          <w:i/>
          <w:iCs/>
          <w:sz w:val="24"/>
          <w:szCs w:val="24"/>
          <w:lang w:val="en-GB"/>
        </w:rPr>
        <w:t>YS.</w:t>
      </w:r>
      <w:r w:rsidR="004B0AC1">
        <w:rPr>
          <w:rFonts w:ascii="Times New Roman" w:hAnsi="Times New Roman" w:cs="Times New Roman"/>
          <w:i/>
          <w:iCs/>
          <w:sz w:val="24"/>
          <w:szCs w:val="24"/>
          <w:lang w:val="en-GB"/>
        </w:rPr>
        <w:t xml:space="preserve"> </w:t>
      </w:r>
      <w:r w:rsidR="00861042">
        <w:rPr>
          <w:rFonts w:ascii="Times New Roman" w:hAnsi="Times New Roman" w:cs="Times New Roman"/>
          <w:sz w:val="24"/>
          <w:szCs w:val="24"/>
          <w:lang w:val="en-GB"/>
        </w:rPr>
        <w:t>Such agreements</w:t>
      </w:r>
      <w:r w:rsidR="00503C23">
        <w:rPr>
          <w:rFonts w:ascii="Times New Roman" w:hAnsi="Times New Roman" w:cs="Times New Roman"/>
          <w:sz w:val="24"/>
          <w:szCs w:val="24"/>
          <w:lang w:val="en-GB"/>
        </w:rPr>
        <w:t xml:space="preserve"> – on wages only – </w:t>
      </w:r>
      <w:r w:rsidR="00861042">
        <w:rPr>
          <w:rFonts w:ascii="Times New Roman" w:hAnsi="Times New Roman" w:cs="Times New Roman"/>
          <w:sz w:val="24"/>
          <w:szCs w:val="24"/>
          <w:lang w:val="en-GB"/>
        </w:rPr>
        <w:t xml:space="preserve">are regularly concluded </w:t>
      </w:r>
      <w:r w:rsidR="00503C23">
        <w:rPr>
          <w:rFonts w:ascii="Times New Roman" w:hAnsi="Times New Roman" w:cs="Times New Roman"/>
          <w:sz w:val="24"/>
          <w:szCs w:val="24"/>
          <w:lang w:val="en-GB"/>
        </w:rPr>
        <w:t>for the second year of a head agreement</w:t>
      </w:r>
      <w:r w:rsidR="00F04446">
        <w:rPr>
          <w:rFonts w:ascii="Times New Roman" w:hAnsi="Times New Roman" w:cs="Times New Roman"/>
          <w:sz w:val="24"/>
          <w:szCs w:val="24"/>
          <w:lang w:val="en-GB"/>
        </w:rPr>
        <w:t xml:space="preserve"> (</w:t>
      </w:r>
      <w:r w:rsidR="00914CDA">
        <w:rPr>
          <w:rFonts w:ascii="Times New Roman" w:hAnsi="Times New Roman" w:cs="Times New Roman"/>
          <w:i/>
          <w:iCs/>
          <w:sz w:val="24"/>
          <w:szCs w:val="24"/>
          <w:lang w:val="en-GB"/>
        </w:rPr>
        <w:t>mellomoppgj</w:t>
      </w:r>
      <w:r w:rsidR="00914CDA" w:rsidRPr="002D2CD6">
        <w:rPr>
          <w:rFonts w:ascii="Times New Roman" w:hAnsi="Times New Roman" w:cs="Times New Roman"/>
          <w:i/>
          <w:iCs/>
          <w:sz w:val="24"/>
          <w:szCs w:val="24"/>
          <w:lang w:val="en-GB"/>
        </w:rPr>
        <w:t>ør</w:t>
      </w:r>
      <w:r w:rsidR="00F04446">
        <w:rPr>
          <w:rFonts w:ascii="Times New Roman" w:hAnsi="Times New Roman" w:cs="Times New Roman"/>
          <w:sz w:val="24"/>
          <w:szCs w:val="24"/>
          <w:lang w:val="en-GB"/>
        </w:rPr>
        <w:t>)</w:t>
      </w:r>
      <w:r w:rsidR="00222145">
        <w:rPr>
          <w:rFonts w:ascii="Times New Roman" w:hAnsi="Times New Roman" w:cs="Times New Roman"/>
          <w:i/>
          <w:iCs/>
          <w:sz w:val="24"/>
          <w:szCs w:val="24"/>
          <w:lang w:val="en-GB"/>
        </w:rPr>
        <w:t>.</w:t>
      </w:r>
    </w:p>
    <w:p w14:paraId="4E8F7E36" w14:textId="190498ED" w:rsidR="0097289F" w:rsidRDefault="00F113E1" w:rsidP="002B532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After the</w:t>
      </w:r>
      <w:r w:rsidR="00513A84">
        <w:rPr>
          <w:rFonts w:ascii="Times New Roman" w:hAnsi="Times New Roman" w:cs="Times New Roman"/>
          <w:sz w:val="24"/>
          <w:szCs w:val="24"/>
          <w:lang w:val="en-GB"/>
        </w:rPr>
        <w:t xml:space="preserve"> first agreements</w:t>
      </w:r>
      <w:r w:rsidR="00BF6F0E">
        <w:rPr>
          <w:rFonts w:ascii="Times New Roman" w:hAnsi="Times New Roman" w:cs="Times New Roman"/>
          <w:sz w:val="24"/>
          <w:szCs w:val="24"/>
          <w:lang w:val="en-GB"/>
        </w:rPr>
        <w:t xml:space="preserve"> </w:t>
      </w:r>
      <w:r w:rsidR="008E0D84">
        <w:rPr>
          <w:rFonts w:ascii="Times New Roman" w:hAnsi="Times New Roman" w:cs="Times New Roman"/>
          <w:sz w:val="24"/>
          <w:szCs w:val="24"/>
          <w:lang w:val="en-GB"/>
        </w:rPr>
        <w:t>for the frontrunner (</w:t>
      </w:r>
      <w:r w:rsidR="008E0D84">
        <w:rPr>
          <w:rFonts w:ascii="Times New Roman" w:hAnsi="Times New Roman" w:cs="Times New Roman"/>
          <w:i/>
          <w:iCs/>
          <w:sz w:val="24"/>
          <w:szCs w:val="24"/>
          <w:lang w:val="en-GB"/>
        </w:rPr>
        <w:t xml:space="preserve">frontfaget, </w:t>
      </w:r>
      <w:r w:rsidR="008E0D84">
        <w:rPr>
          <w:rFonts w:ascii="Times New Roman" w:hAnsi="Times New Roman" w:cs="Times New Roman"/>
          <w:sz w:val="24"/>
          <w:szCs w:val="24"/>
          <w:lang w:val="en-GB"/>
        </w:rPr>
        <w:t xml:space="preserve">which </w:t>
      </w:r>
      <w:r w:rsidR="00EF06C5">
        <w:rPr>
          <w:rFonts w:ascii="Times New Roman" w:hAnsi="Times New Roman" w:cs="Times New Roman"/>
          <w:sz w:val="24"/>
          <w:szCs w:val="24"/>
          <w:lang w:val="en-GB"/>
        </w:rPr>
        <w:t>may thus refer eit</w:t>
      </w:r>
      <w:r w:rsidR="008D174A">
        <w:rPr>
          <w:rFonts w:ascii="Times New Roman" w:hAnsi="Times New Roman" w:cs="Times New Roman"/>
          <w:sz w:val="24"/>
          <w:szCs w:val="24"/>
          <w:lang w:val="en-GB"/>
        </w:rPr>
        <w:t>her</w:t>
      </w:r>
      <w:r w:rsidR="00EF06C5">
        <w:rPr>
          <w:rFonts w:ascii="Times New Roman" w:hAnsi="Times New Roman" w:cs="Times New Roman"/>
          <w:sz w:val="24"/>
          <w:szCs w:val="24"/>
          <w:lang w:val="en-GB"/>
        </w:rPr>
        <w:t xml:space="preserve"> to </w:t>
      </w:r>
      <w:r w:rsidR="00434394">
        <w:rPr>
          <w:rFonts w:ascii="Times New Roman" w:hAnsi="Times New Roman" w:cs="Times New Roman"/>
          <w:sz w:val="24"/>
          <w:szCs w:val="24"/>
          <w:lang w:val="en-GB"/>
        </w:rPr>
        <w:t>manufacturing</w:t>
      </w:r>
      <w:r w:rsidR="00EF06C5">
        <w:rPr>
          <w:rFonts w:ascii="Times New Roman" w:hAnsi="Times New Roman" w:cs="Times New Roman"/>
          <w:sz w:val="24"/>
          <w:szCs w:val="24"/>
          <w:lang w:val="en-GB"/>
        </w:rPr>
        <w:t xml:space="preserve"> or </w:t>
      </w:r>
      <w:r w:rsidR="002344BA">
        <w:rPr>
          <w:rFonts w:ascii="Times New Roman" w:hAnsi="Times New Roman" w:cs="Times New Roman"/>
          <w:sz w:val="24"/>
          <w:szCs w:val="24"/>
          <w:lang w:val="en-GB"/>
        </w:rPr>
        <w:t>most of the private sector</w:t>
      </w:r>
      <w:r w:rsidR="00513A84">
        <w:rPr>
          <w:rFonts w:ascii="Times New Roman" w:hAnsi="Times New Roman" w:cs="Times New Roman"/>
          <w:sz w:val="24"/>
          <w:szCs w:val="24"/>
          <w:lang w:val="en-GB"/>
        </w:rPr>
        <w:t xml:space="preserve">), </w:t>
      </w:r>
      <w:r w:rsidR="00894D2C">
        <w:rPr>
          <w:rFonts w:ascii="Times New Roman" w:hAnsi="Times New Roman" w:cs="Times New Roman"/>
          <w:i/>
          <w:iCs/>
          <w:sz w:val="24"/>
          <w:szCs w:val="24"/>
          <w:lang w:val="en-GB"/>
        </w:rPr>
        <w:t xml:space="preserve">NHO </w:t>
      </w:r>
      <w:r w:rsidR="00725C35">
        <w:rPr>
          <w:rFonts w:ascii="Times New Roman" w:hAnsi="Times New Roman" w:cs="Times New Roman"/>
          <w:sz w:val="24"/>
          <w:szCs w:val="24"/>
          <w:lang w:val="en-GB"/>
        </w:rPr>
        <w:t xml:space="preserve">“in common understanding” with </w:t>
      </w:r>
      <w:r w:rsidR="00384AEC" w:rsidRPr="001010BE">
        <w:rPr>
          <w:rFonts w:ascii="Times New Roman" w:hAnsi="Times New Roman" w:cs="Times New Roman"/>
          <w:i/>
          <w:iCs/>
          <w:sz w:val="24"/>
          <w:szCs w:val="24"/>
          <w:lang w:val="en-GB"/>
        </w:rPr>
        <w:t>LO</w:t>
      </w:r>
      <w:r w:rsidR="00384AEC">
        <w:rPr>
          <w:rFonts w:ascii="Times New Roman" w:hAnsi="Times New Roman" w:cs="Times New Roman"/>
          <w:sz w:val="24"/>
          <w:szCs w:val="24"/>
          <w:lang w:val="en-GB"/>
        </w:rPr>
        <w:t xml:space="preserve">, decides </w:t>
      </w:r>
      <w:r w:rsidR="002D3B21">
        <w:rPr>
          <w:rFonts w:ascii="Times New Roman" w:hAnsi="Times New Roman" w:cs="Times New Roman"/>
          <w:sz w:val="24"/>
          <w:szCs w:val="24"/>
          <w:lang w:val="en-GB"/>
        </w:rPr>
        <w:t>on the scope (</w:t>
      </w:r>
      <w:r w:rsidR="002D3B21">
        <w:rPr>
          <w:rFonts w:ascii="Times New Roman" w:hAnsi="Times New Roman" w:cs="Times New Roman"/>
          <w:i/>
          <w:iCs/>
          <w:sz w:val="24"/>
          <w:szCs w:val="24"/>
          <w:lang w:val="en-GB"/>
        </w:rPr>
        <w:t>rammen</w:t>
      </w:r>
      <w:r w:rsidR="002D3B21">
        <w:rPr>
          <w:rFonts w:ascii="Times New Roman" w:hAnsi="Times New Roman" w:cs="Times New Roman"/>
          <w:sz w:val="24"/>
          <w:szCs w:val="24"/>
          <w:lang w:val="en-GB"/>
        </w:rPr>
        <w:t>) for wage increases in manufacturing</w:t>
      </w:r>
      <w:r w:rsidR="00D13B90">
        <w:rPr>
          <w:rFonts w:ascii="Times New Roman" w:hAnsi="Times New Roman" w:cs="Times New Roman"/>
          <w:sz w:val="24"/>
          <w:szCs w:val="24"/>
          <w:lang w:val="en-GB"/>
        </w:rPr>
        <w:t>.</w:t>
      </w:r>
      <w:r w:rsidR="002D3B21">
        <w:rPr>
          <w:rFonts w:ascii="Times New Roman" w:hAnsi="Times New Roman" w:cs="Times New Roman"/>
          <w:sz w:val="24"/>
          <w:szCs w:val="24"/>
          <w:lang w:val="en-GB"/>
        </w:rPr>
        <w:t xml:space="preserve"> </w:t>
      </w:r>
      <w:r w:rsidR="00D13B90">
        <w:rPr>
          <w:rFonts w:ascii="Times New Roman" w:hAnsi="Times New Roman" w:cs="Times New Roman"/>
          <w:sz w:val="24"/>
          <w:szCs w:val="24"/>
          <w:lang w:val="en-GB"/>
        </w:rPr>
        <w:t>This</w:t>
      </w:r>
      <w:r w:rsidR="004844BD">
        <w:rPr>
          <w:rFonts w:ascii="Times New Roman" w:hAnsi="Times New Roman" w:cs="Times New Roman"/>
          <w:sz w:val="24"/>
          <w:szCs w:val="24"/>
          <w:lang w:val="en-GB"/>
        </w:rPr>
        <w:t xml:space="preserve"> norm</w:t>
      </w:r>
      <w:r w:rsidR="00D13B90">
        <w:rPr>
          <w:rFonts w:ascii="Times New Roman" w:hAnsi="Times New Roman" w:cs="Times New Roman"/>
          <w:sz w:val="24"/>
          <w:szCs w:val="24"/>
          <w:lang w:val="en-GB"/>
        </w:rPr>
        <w:t xml:space="preserve"> is</w:t>
      </w:r>
      <w:r w:rsidR="004844BD">
        <w:rPr>
          <w:rFonts w:ascii="Times New Roman" w:hAnsi="Times New Roman" w:cs="Times New Roman"/>
          <w:sz w:val="24"/>
          <w:szCs w:val="24"/>
          <w:lang w:val="en-GB"/>
        </w:rPr>
        <w:t xml:space="preserve"> </w:t>
      </w:r>
      <w:r w:rsidR="00BB020F">
        <w:rPr>
          <w:rFonts w:ascii="Times New Roman" w:hAnsi="Times New Roman" w:cs="Times New Roman"/>
          <w:sz w:val="24"/>
          <w:szCs w:val="24"/>
          <w:lang w:val="en-GB"/>
        </w:rPr>
        <w:t>typ</w:t>
      </w:r>
      <w:r w:rsidR="001F2697">
        <w:rPr>
          <w:rFonts w:ascii="Times New Roman" w:hAnsi="Times New Roman" w:cs="Times New Roman"/>
          <w:sz w:val="24"/>
          <w:szCs w:val="24"/>
          <w:lang w:val="en-GB"/>
        </w:rPr>
        <w:t>ically</w:t>
      </w:r>
      <w:r w:rsidR="004844BD">
        <w:rPr>
          <w:rFonts w:ascii="Times New Roman" w:hAnsi="Times New Roman" w:cs="Times New Roman"/>
          <w:sz w:val="24"/>
          <w:szCs w:val="24"/>
          <w:lang w:val="en-GB"/>
        </w:rPr>
        <w:t xml:space="preserve"> followed in subsequent bargaining in the rest of the private sector and in the public sector</w:t>
      </w:r>
      <w:r w:rsidR="001814C7">
        <w:rPr>
          <w:rFonts w:ascii="Times New Roman" w:hAnsi="Times New Roman" w:cs="Times New Roman"/>
          <w:sz w:val="24"/>
          <w:szCs w:val="24"/>
          <w:lang w:val="en-GB"/>
        </w:rPr>
        <w:t xml:space="preserve">. </w:t>
      </w:r>
      <w:r w:rsidR="00143257">
        <w:rPr>
          <w:rFonts w:ascii="Times New Roman" w:hAnsi="Times New Roman" w:cs="Times New Roman"/>
          <w:sz w:val="24"/>
          <w:szCs w:val="24"/>
          <w:lang w:val="en-GB"/>
        </w:rPr>
        <w:t xml:space="preserve">The </w:t>
      </w:r>
      <w:r w:rsidR="00BA4A30">
        <w:rPr>
          <w:rFonts w:ascii="Times New Roman" w:hAnsi="Times New Roman" w:cs="Times New Roman"/>
          <w:sz w:val="24"/>
          <w:szCs w:val="24"/>
          <w:lang w:val="en-GB"/>
        </w:rPr>
        <w:t xml:space="preserve">norm is </w:t>
      </w:r>
      <w:r w:rsidR="00D75B37">
        <w:rPr>
          <w:rFonts w:ascii="Times New Roman" w:hAnsi="Times New Roman" w:cs="Times New Roman"/>
          <w:sz w:val="24"/>
          <w:szCs w:val="24"/>
          <w:lang w:val="en-GB"/>
        </w:rPr>
        <w:t xml:space="preserve">a forecast for </w:t>
      </w:r>
      <w:r w:rsidR="00C92490">
        <w:rPr>
          <w:rFonts w:ascii="Times New Roman" w:hAnsi="Times New Roman" w:cs="Times New Roman"/>
          <w:sz w:val="24"/>
          <w:szCs w:val="24"/>
          <w:lang w:val="en-GB"/>
        </w:rPr>
        <w:t xml:space="preserve">actual wage increases in manufacturing </w:t>
      </w:r>
      <w:r w:rsidR="00143257">
        <w:rPr>
          <w:rFonts w:ascii="Times New Roman" w:hAnsi="Times New Roman" w:cs="Times New Roman"/>
          <w:sz w:val="24"/>
          <w:szCs w:val="24"/>
          <w:lang w:val="en-GB"/>
        </w:rPr>
        <w:t>based</w:t>
      </w:r>
      <w:r w:rsidR="00C92490">
        <w:rPr>
          <w:rFonts w:ascii="Times New Roman" w:hAnsi="Times New Roman" w:cs="Times New Roman"/>
          <w:sz w:val="24"/>
          <w:szCs w:val="24"/>
          <w:lang w:val="en-GB"/>
        </w:rPr>
        <w:t xml:space="preserve"> on th</w:t>
      </w:r>
      <w:r w:rsidR="00527D4C">
        <w:rPr>
          <w:rFonts w:ascii="Times New Roman" w:hAnsi="Times New Roman" w:cs="Times New Roman"/>
          <w:sz w:val="24"/>
          <w:szCs w:val="24"/>
          <w:lang w:val="en-GB"/>
        </w:rPr>
        <w:t xml:space="preserve">e frontrunner agreement </w:t>
      </w:r>
      <w:r w:rsidR="00143257">
        <w:rPr>
          <w:rFonts w:ascii="Times New Roman" w:hAnsi="Times New Roman" w:cs="Times New Roman"/>
          <w:sz w:val="24"/>
          <w:szCs w:val="24"/>
          <w:lang w:val="en-GB"/>
        </w:rPr>
        <w:t>and</w:t>
      </w:r>
      <w:r w:rsidR="002F583F">
        <w:rPr>
          <w:rFonts w:ascii="Times New Roman" w:hAnsi="Times New Roman" w:cs="Times New Roman"/>
          <w:sz w:val="24"/>
          <w:szCs w:val="24"/>
          <w:lang w:val="en-GB"/>
        </w:rPr>
        <w:t xml:space="preserve"> </w:t>
      </w:r>
      <w:r w:rsidR="00232573">
        <w:rPr>
          <w:rFonts w:ascii="Times New Roman" w:hAnsi="Times New Roman" w:cs="Times New Roman"/>
          <w:sz w:val="24"/>
          <w:szCs w:val="24"/>
          <w:lang w:val="en-GB"/>
        </w:rPr>
        <w:t>expected</w:t>
      </w:r>
      <w:r w:rsidR="00DA0D72">
        <w:rPr>
          <w:rFonts w:ascii="Times New Roman" w:hAnsi="Times New Roman" w:cs="Times New Roman"/>
          <w:sz w:val="24"/>
          <w:szCs w:val="24"/>
          <w:lang w:val="en-GB"/>
        </w:rPr>
        <w:t xml:space="preserve"> outcomes of subsequent </w:t>
      </w:r>
      <w:r w:rsidR="00DA65CC">
        <w:rPr>
          <w:rFonts w:ascii="Times New Roman" w:hAnsi="Times New Roman" w:cs="Times New Roman"/>
          <w:sz w:val="24"/>
          <w:szCs w:val="24"/>
          <w:lang w:val="en-GB"/>
        </w:rPr>
        <w:t xml:space="preserve">local </w:t>
      </w:r>
      <w:r w:rsidR="00DA0D72">
        <w:rPr>
          <w:rFonts w:ascii="Times New Roman" w:hAnsi="Times New Roman" w:cs="Times New Roman"/>
          <w:sz w:val="24"/>
          <w:szCs w:val="24"/>
          <w:lang w:val="en-GB"/>
        </w:rPr>
        <w:t>bargaining</w:t>
      </w:r>
      <w:r w:rsidR="00BC488B">
        <w:rPr>
          <w:rFonts w:ascii="Times New Roman" w:hAnsi="Times New Roman" w:cs="Times New Roman"/>
          <w:sz w:val="24"/>
          <w:szCs w:val="24"/>
          <w:lang w:val="en-GB"/>
        </w:rPr>
        <w:t xml:space="preserve">. Despite that a major part of </w:t>
      </w:r>
      <w:r w:rsidR="00F43A69">
        <w:rPr>
          <w:rFonts w:ascii="Times New Roman" w:hAnsi="Times New Roman" w:cs="Times New Roman"/>
          <w:sz w:val="24"/>
          <w:szCs w:val="24"/>
          <w:lang w:val="en-GB"/>
        </w:rPr>
        <w:t xml:space="preserve">actual </w:t>
      </w:r>
      <w:r w:rsidR="00BC488B">
        <w:rPr>
          <w:rFonts w:ascii="Times New Roman" w:hAnsi="Times New Roman" w:cs="Times New Roman"/>
          <w:sz w:val="24"/>
          <w:szCs w:val="24"/>
          <w:lang w:val="en-GB"/>
        </w:rPr>
        <w:t xml:space="preserve">wage increases in manufacturing </w:t>
      </w:r>
      <w:r w:rsidR="0028672B">
        <w:rPr>
          <w:rFonts w:ascii="Times New Roman" w:hAnsi="Times New Roman" w:cs="Times New Roman"/>
          <w:sz w:val="24"/>
          <w:szCs w:val="24"/>
          <w:lang w:val="en-GB"/>
        </w:rPr>
        <w:t>is wage drift</w:t>
      </w:r>
      <w:r w:rsidR="00623600">
        <w:rPr>
          <w:rFonts w:ascii="Times New Roman" w:hAnsi="Times New Roman" w:cs="Times New Roman"/>
          <w:sz w:val="24"/>
          <w:szCs w:val="24"/>
          <w:lang w:val="en-GB"/>
        </w:rPr>
        <w:t>,</w:t>
      </w:r>
      <w:r w:rsidR="00B538A3">
        <w:rPr>
          <w:rFonts w:ascii="Times New Roman" w:hAnsi="Times New Roman" w:cs="Times New Roman"/>
          <w:sz w:val="24"/>
          <w:szCs w:val="24"/>
          <w:lang w:val="en-GB"/>
        </w:rPr>
        <w:t xml:space="preserve"> the </w:t>
      </w:r>
      <w:r w:rsidR="001D2ABD">
        <w:rPr>
          <w:rFonts w:ascii="Times New Roman" w:hAnsi="Times New Roman" w:cs="Times New Roman"/>
          <w:sz w:val="24"/>
          <w:szCs w:val="24"/>
          <w:lang w:val="en-GB"/>
        </w:rPr>
        <w:t xml:space="preserve">forecast has usually been </w:t>
      </w:r>
      <w:r w:rsidR="002E78E5">
        <w:rPr>
          <w:rFonts w:ascii="Times New Roman" w:hAnsi="Times New Roman" w:cs="Times New Roman"/>
          <w:sz w:val="24"/>
          <w:szCs w:val="24"/>
          <w:lang w:val="en-GB"/>
        </w:rPr>
        <w:t>quite accurate (Holden IV-utvalget 2023)</w:t>
      </w:r>
      <w:r w:rsidR="007A5666">
        <w:rPr>
          <w:rFonts w:ascii="Times New Roman" w:hAnsi="Times New Roman" w:cs="Times New Roman"/>
          <w:sz w:val="24"/>
          <w:szCs w:val="24"/>
          <w:lang w:val="en-GB"/>
        </w:rPr>
        <w:t>.</w:t>
      </w:r>
    </w:p>
    <w:p w14:paraId="1A9A3EE2" w14:textId="2124FEA7" w:rsidR="003D7D7A" w:rsidRDefault="008C0D9C" w:rsidP="003D7D7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case of mediation, the National Mediator</w:t>
      </w:r>
      <w:r w:rsidR="004553BA">
        <w:rPr>
          <w:rFonts w:ascii="Times New Roman" w:hAnsi="Times New Roman" w:cs="Times New Roman"/>
          <w:sz w:val="24"/>
          <w:szCs w:val="24"/>
          <w:lang w:val="en-GB"/>
        </w:rPr>
        <w:t xml:space="preserve"> (</w:t>
      </w:r>
      <w:r w:rsidR="004553BA">
        <w:rPr>
          <w:rFonts w:ascii="Times New Roman" w:hAnsi="Times New Roman" w:cs="Times New Roman"/>
          <w:i/>
          <w:iCs/>
          <w:sz w:val="24"/>
          <w:szCs w:val="24"/>
          <w:lang w:val="en-GB"/>
        </w:rPr>
        <w:t>Riksmekleren</w:t>
      </w:r>
      <w:r w:rsidR="004553BA">
        <w:rPr>
          <w:rFonts w:ascii="Times New Roman" w:hAnsi="Times New Roman" w:cs="Times New Roman"/>
          <w:sz w:val="24"/>
          <w:szCs w:val="24"/>
          <w:lang w:val="en-GB"/>
        </w:rPr>
        <w:t>)</w:t>
      </w:r>
      <w:r>
        <w:rPr>
          <w:rFonts w:ascii="Times New Roman" w:hAnsi="Times New Roman" w:cs="Times New Roman"/>
          <w:sz w:val="24"/>
          <w:szCs w:val="24"/>
          <w:lang w:val="en-GB"/>
        </w:rPr>
        <w:t xml:space="preserve"> normally </w:t>
      </w:r>
      <w:r w:rsidR="00C35BAB">
        <w:rPr>
          <w:rFonts w:ascii="Times New Roman" w:hAnsi="Times New Roman" w:cs="Times New Roman"/>
          <w:sz w:val="24"/>
          <w:szCs w:val="24"/>
          <w:lang w:val="en-GB"/>
        </w:rPr>
        <w:t>ad</w:t>
      </w:r>
      <w:r w:rsidR="008D174A">
        <w:rPr>
          <w:rFonts w:ascii="Times New Roman" w:hAnsi="Times New Roman" w:cs="Times New Roman"/>
          <w:sz w:val="24"/>
          <w:szCs w:val="24"/>
          <w:lang w:val="en-GB"/>
        </w:rPr>
        <w:t>her</w:t>
      </w:r>
      <w:r w:rsidR="00C35BAB">
        <w:rPr>
          <w:rFonts w:ascii="Times New Roman" w:hAnsi="Times New Roman" w:cs="Times New Roman"/>
          <w:sz w:val="24"/>
          <w:szCs w:val="24"/>
          <w:lang w:val="en-GB"/>
        </w:rPr>
        <w:t>e</w:t>
      </w:r>
      <w:r w:rsidR="00623600">
        <w:rPr>
          <w:rFonts w:ascii="Times New Roman" w:hAnsi="Times New Roman" w:cs="Times New Roman"/>
          <w:sz w:val="24"/>
          <w:szCs w:val="24"/>
          <w:lang w:val="en-GB"/>
        </w:rPr>
        <w:t>s</w:t>
      </w:r>
      <w:r w:rsidR="00C35BAB">
        <w:rPr>
          <w:rFonts w:ascii="Times New Roman" w:hAnsi="Times New Roman" w:cs="Times New Roman"/>
          <w:sz w:val="24"/>
          <w:szCs w:val="24"/>
          <w:lang w:val="en-GB"/>
        </w:rPr>
        <w:t xml:space="preserve"> to the norm set in the frontrunner agreement</w:t>
      </w:r>
      <w:r w:rsidR="00057130">
        <w:rPr>
          <w:rFonts w:ascii="Times New Roman" w:hAnsi="Times New Roman" w:cs="Times New Roman"/>
          <w:sz w:val="24"/>
          <w:szCs w:val="24"/>
          <w:lang w:val="en-GB"/>
        </w:rPr>
        <w:t>. The same applies for the National Wage</w:t>
      </w:r>
      <w:r w:rsidR="00FF2F93">
        <w:rPr>
          <w:rFonts w:ascii="Times New Roman" w:hAnsi="Times New Roman" w:cs="Times New Roman"/>
          <w:sz w:val="24"/>
          <w:szCs w:val="24"/>
          <w:lang w:val="en-GB"/>
        </w:rPr>
        <w:t>s</w:t>
      </w:r>
      <w:r w:rsidR="00057130">
        <w:rPr>
          <w:rFonts w:ascii="Times New Roman" w:hAnsi="Times New Roman" w:cs="Times New Roman"/>
          <w:sz w:val="24"/>
          <w:szCs w:val="24"/>
          <w:lang w:val="en-GB"/>
        </w:rPr>
        <w:t xml:space="preserve"> Board</w:t>
      </w:r>
      <w:r w:rsidR="00F23DD5">
        <w:rPr>
          <w:rFonts w:ascii="Times New Roman" w:hAnsi="Times New Roman" w:cs="Times New Roman"/>
          <w:sz w:val="24"/>
          <w:szCs w:val="24"/>
          <w:lang w:val="en-GB"/>
        </w:rPr>
        <w:t xml:space="preserve"> (</w:t>
      </w:r>
      <w:r w:rsidR="00F23DD5" w:rsidRPr="001A6E96">
        <w:rPr>
          <w:rFonts w:ascii="Times New Roman" w:hAnsi="Times New Roman" w:cs="Times New Roman"/>
          <w:i/>
          <w:iCs/>
          <w:sz w:val="24"/>
          <w:szCs w:val="24"/>
          <w:lang w:val="en-GB"/>
        </w:rPr>
        <w:t>Rikslønnsnemnda</w:t>
      </w:r>
      <w:r w:rsidR="001A6E96" w:rsidRPr="001A6E96">
        <w:rPr>
          <w:rFonts w:ascii="Times New Roman" w:hAnsi="Times New Roman" w:cs="Times New Roman"/>
          <w:sz w:val="24"/>
          <w:szCs w:val="24"/>
          <w:lang w:val="en-GB"/>
        </w:rPr>
        <w:t>)</w:t>
      </w:r>
      <w:r w:rsidR="00052D64">
        <w:rPr>
          <w:rFonts w:ascii="Times New Roman" w:hAnsi="Times New Roman" w:cs="Times New Roman"/>
          <w:sz w:val="24"/>
          <w:szCs w:val="24"/>
          <w:lang w:val="en-GB"/>
        </w:rPr>
        <w:t xml:space="preserve"> if an industrial conflict is ended through</w:t>
      </w:r>
      <w:r w:rsidR="002900A8">
        <w:rPr>
          <w:rFonts w:ascii="Times New Roman" w:hAnsi="Times New Roman" w:cs="Times New Roman"/>
          <w:sz w:val="24"/>
          <w:szCs w:val="24"/>
          <w:lang w:val="en-GB"/>
        </w:rPr>
        <w:t xml:space="preserve"> legislated</w:t>
      </w:r>
      <w:r w:rsidR="00052D64">
        <w:rPr>
          <w:rFonts w:ascii="Times New Roman" w:hAnsi="Times New Roman" w:cs="Times New Roman"/>
          <w:sz w:val="24"/>
          <w:szCs w:val="24"/>
          <w:lang w:val="en-GB"/>
        </w:rPr>
        <w:t xml:space="preserve"> compulsory </w:t>
      </w:r>
      <w:r w:rsidR="002900A8">
        <w:rPr>
          <w:rFonts w:ascii="Times New Roman" w:hAnsi="Times New Roman" w:cs="Times New Roman"/>
          <w:sz w:val="24"/>
          <w:szCs w:val="24"/>
          <w:lang w:val="en-GB"/>
        </w:rPr>
        <w:t>arbitration.</w:t>
      </w:r>
    </w:p>
    <w:p w14:paraId="0485007C" w14:textId="3BFAABB6" w:rsidR="00BF72C6" w:rsidRPr="003D7D7A" w:rsidRDefault="00E03026" w:rsidP="003D7D7A">
      <w:pPr>
        <w:pStyle w:val="Heading2"/>
        <w:rPr>
          <w:rFonts w:ascii="Times New Roman" w:hAnsi="Times New Roman" w:cs="Times New Roman"/>
          <w:sz w:val="24"/>
          <w:szCs w:val="24"/>
          <w:lang w:val="en-GB"/>
        </w:rPr>
      </w:pPr>
      <w:r>
        <w:rPr>
          <w:lang w:val="en-GB"/>
        </w:rPr>
        <w:t>2.4 Finland</w:t>
      </w:r>
      <w:r>
        <w:rPr>
          <w:rStyle w:val="FootnoteReference"/>
          <w:lang w:val="en-GB"/>
        </w:rPr>
        <w:footnoteReference w:id="8"/>
      </w:r>
    </w:p>
    <w:p w14:paraId="08F29E95" w14:textId="0D12FBA9" w:rsidR="001A78F9" w:rsidRDefault="002A0CEB" w:rsidP="00CA6193">
      <w:pPr>
        <w:spacing w:line="360" w:lineRule="auto"/>
        <w:jc w:val="both"/>
        <w:rPr>
          <w:rFonts w:ascii="Times New Roman" w:hAnsi="Times New Roman" w:cs="Times New Roman"/>
          <w:sz w:val="24"/>
          <w:szCs w:val="24"/>
          <w:lang w:val="en-GB"/>
        </w:rPr>
      </w:pPr>
      <w:r w:rsidRPr="002A0CEB">
        <w:rPr>
          <w:rFonts w:ascii="Times New Roman" w:hAnsi="Times New Roman" w:cs="Times New Roman"/>
          <w:sz w:val="24"/>
          <w:szCs w:val="24"/>
          <w:lang w:val="en-GB"/>
        </w:rPr>
        <w:t>In Finland</w:t>
      </w:r>
      <w:r>
        <w:rPr>
          <w:rFonts w:ascii="Times New Roman" w:hAnsi="Times New Roman" w:cs="Times New Roman"/>
          <w:sz w:val="24"/>
          <w:szCs w:val="24"/>
          <w:lang w:val="en-GB"/>
        </w:rPr>
        <w:t xml:space="preserve">, </w:t>
      </w:r>
      <w:r w:rsidR="008221F4">
        <w:rPr>
          <w:rFonts w:ascii="Times New Roman" w:hAnsi="Times New Roman" w:cs="Times New Roman"/>
          <w:sz w:val="24"/>
          <w:szCs w:val="24"/>
          <w:lang w:val="en-GB"/>
        </w:rPr>
        <w:t xml:space="preserve">bargaining between economy-wide peak organisations </w:t>
      </w:r>
      <w:r w:rsidR="000665AD">
        <w:rPr>
          <w:rFonts w:ascii="Times New Roman" w:hAnsi="Times New Roman" w:cs="Times New Roman"/>
          <w:sz w:val="24"/>
          <w:szCs w:val="24"/>
          <w:lang w:val="en-GB"/>
        </w:rPr>
        <w:t>stayed</w:t>
      </w:r>
      <w:r w:rsidR="001D095D">
        <w:rPr>
          <w:rFonts w:ascii="Times New Roman" w:hAnsi="Times New Roman" w:cs="Times New Roman"/>
          <w:sz w:val="24"/>
          <w:szCs w:val="24"/>
          <w:lang w:val="en-GB"/>
        </w:rPr>
        <w:t xml:space="preserve"> on</w:t>
      </w:r>
      <w:r w:rsidR="00B42B03">
        <w:rPr>
          <w:rFonts w:ascii="Times New Roman" w:hAnsi="Times New Roman" w:cs="Times New Roman"/>
          <w:sz w:val="24"/>
          <w:szCs w:val="24"/>
          <w:lang w:val="en-GB"/>
        </w:rPr>
        <w:t xml:space="preserve"> longer than in the ot</w:t>
      </w:r>
      <w:r w:rsidR="008D174A">
        <w:rPr>
          <w:rFonts w:ascii="Times New Roman" w:hAnsi="Times New Roman" w:cs="Times New Roman"/>
          <w:sz w:val="24"/>
          <w:szCs w:val="24"/>
          <w:lang w:val="en-GB"/>
        </w:rPr>
        <w:t>her</w:t>
      </w:r>
      <w:r w:rsidR="00B42B03">
        <w:rPr>
          <w:rFonts w:ascii="Times New Roman" w:hAnsi="Times New Roman" w:cs="Times New Roman"/>
          <w:sz w:val="24"/>
          <w:szCs w:val="24"/>
          <w:lang w:val="en-GB"/>
        </w:rPr>
        <w:t xml:space="preserve"> Nordic countries</w:t>
      </w:r>
      <w:r w:rsidR="000665AD">
        <w:rPr>
          <w:rFonts w:ascii="Times New Roman" w:hAnsi="Times New Roman" w:cs="Times New Roman"/>
          <w:sz w:val="24"/>
          <w:szCs w:val="24"/>
          <w:lang w:val="en-GB"/>
        </w:rPr>
        <w:t xml:space="preserve"> as the dominant form of </w:t>
      </w:r>
      <w:r w:rsidR="000749C3">
        <w:rPr>
          <w:rFonts w:ascii="Times New Roman" w:hAnsi="Times New Roman" w:cs="Times New Roman"/>
          <w:sz w:val="24"/>
          <w:szCs w:val="24"/>
          <w:lang w:val="en-GB"/>
        </w:rPr>
        <w:t>wage negotiations</w:t>
      </w:r>
      <w:r w:rsidR="00281D2F">
        <w:rPr>
          <w:rFonts w:ascii="Times New Roman" w:hAnsi="Times New Roman" w:cs="Times New Roman"/>
          <w:sz w:val="24"/>
          <w:szCs w:val="24"/>
          <w:lang w:val="en-GB"/>
        </w:rPr>
        <w:t>.</w:t>
      </w:r>
      <w:r w:rsidR="004F7E72">
        <w:rPr>
          <w:rFonts w:ascii="Times New Roman" w:hAnsi="Times New Roman" w:cs="Times New Roman"/>
          <w:sz w:val="24"/>
          <w:szCs w:val="24"/>
          <w:lang w:val="en-GB"/>
        </w:rPr>
        <w:t xml:space="preserve"> </w:t>
      </w:r>
      <w:r w:rsidR="00E414DC">
        <w:rPr>
          <w:rFonts w:ascii="Times New Roman" w:hAnsi="Times New Roman" w:cs="Times New Roman"/>
          <w:sz w:val="24"/>
          <w:szCs w:val="24"/>
          <w:lang w:val="en-GB"/>
        </w:rPr>
        <w:t>It was</w:t>
      </w:r>
      <w:r w:rsidR="004F7E72">
        <w:rPr>
          <w:rFonts w:ascii="Times New Roman" w:hAnsi="Times New Roman" w:cs="Times New Roman"/>
          <w:sz w:val="24"/>
          <w:szCs w:val="24"/>
          <w:lang w:val="en-GB"/>
        </w:rPr>
        <w:t xml:space="preserve"> usually cond</w:t>
      </w:r>
      <w:r w:rsidR="007A5B2A">
        <w:rPr>
          <w:rFonts w:ascii="Times New Roman" w:hAnsi="Times New Roman" w:cs="Times New Roman"/>
          <w:sz w:val="24"/>
          <w:szCs w:val="24"/>
          <w:lang w:val="en-GB"/>
        </w:rPr>
        <w:t xml:space="preserve">ucted </w:t>
      </w:r>
      <w:r w:rsidR="00EC05FC">
        <w:rPr>
          <w:rFonts w:ascii="Times New Roman" w:hAnsi="Times New Roman" w:cs="Times New Roman"/>
          <w:sz w:val="24"/>
          <w:szCs w:val="24"/>
          <w:lang w:val="en-GB"/>
        </w:rPr>
        <w:t xml:space="preserve">as tripartite bargaining involving also the </w:t>
      </w:r>
      <w:r w:rsidR="009D55DF">
        <w:rPr>
          <w:rFonts w:ascii="Times New Roman" w:hAnsi="Times New Roman" w:cs="Times New Roman"/>
          <w:sz w:val="24"/>
          <w:szCs w:val="24"/>
          <w:lang w:val="en-GB"/>
        </w:rPr>
        <w:t>government, often</w:t>
      </w:r>
      <w:r w:rsidR="00B56E8D">
        <w:rPr>
          <w:rFonts w:ascii="Times New Roman" w:hAnsi="Times New Roman" w:cs="Times New Roman"/>
          <w:sz w:val="24"/>
          <w:szCs w:val="24"/>
          <w:lang w:val="en-GB"/>
        </w:rPr>
        <w:t xml:space="preserve"> offering tax cuts or </w:t>
      </w:r>
      <w:r w:rsidR="001647ED">
        <w:rPr>
          <w:rFonts w:ascii="Times New Roman" w:hAnsi="Times New Roman" w:cs="Times New Roman"/>
          <w:sz w:val="24"/>
          <w:szCs w:val="24"/>
          <w:lang w:val="en-GB"/>
        </w:rPr>
        <w:t xml:space="preserve">social reforms in exchange </w:t>
      </w:r>
      <w:r w:rsidR="00B107E6">
        <w:rPr>
          <w:rFonts w:ascii="Times New Roman" w:hAnsi="Times New Roman" w:cs="Times New Roman"/>
          <w:sz w:val="24"/>
          <w:szCs w:val="24"/>
          <w:lang w:val="en-GB"/>
        </w:rPr>
        <w:t>for wage restraint.</w:t>
      </w:r>
      <w:r w:rsidR="003F33F6">
        <w:rPr>
          <w:rFonts w:ascii="Times New Roman" w:hAnsi="Times New Roman" w:cs="Times New Roman"/>
          <w:sz w:val="24"/>
          <w:szCs w:val="24"/>
          <w:lang w:val="en-GB"/>
        </w:rPr>
        <w:t xml:space="preserve"> Such </w:t>
      </w:r>
      <w:r w:rsidR="002E16B8">
        <w:rPr>
          <w:rFonts w:ascii="Times New Roman" w:hAnsi="Times New Roman" w:cs="Times New Roman"/>
          <w:sz w:val="24"/>
          <w:szCs w:val="24"/>
          <w:lang w:val="en-GB"/>
        </w:rPr>
        <w:t xml:space="preserve">centralised </w:t>
      </w:r>
      <w:r w:rsidR="003F33F6">
        <w:rPr>
          <w:rFonts w:ascii="Times New Roman" w:hAnsi="Times New Roman" w:cs="Times New Roman"/>
          <w:sz w:val="24"/>
          <w:szCs w:val="24"/>
          <w:lang w:val="en-GB"/>
        </w:rPr>
        <w:t xml:space="preserve">incomes policy agreements </w:t>
      </w:r>
      <w:r w:rsidR="006A6520">
        <w:rPr>
          <w:rFonts w:ascii="Times New Roman" w:hAnsi="Times New Roman" w:cs="Times New Roman"/>
          <w:sz w:val="24"/>
          <w:szCs w:val="24"/>
          <w:lang w:val="en-GB"/>
        </w:rPr>
        <w:t xml:space="preserve">were common in </w:t>
      </w:r>
      <w:r w:rsidR="00DA7FFD">
        <w:rPr>
          <w:rFonts w:ascii="Times New Roman" w:hAnsi="Times New Roman" w:cs="Times New Roman"/>
          <w:sz w:val="24"/>
          <w:szCs w:val="24"/>
          <w:lang w:val="en-GB"/>
        </w:rPr>
        <w:t>the 1968–2006 period</w:t>
      </w:r>
      <w:r w:rsidR="002E16B8">
        <w:rPr>
          <w:rFonts w:ascii="Times New Roman" w:hAnsi="Times New Roman" w:cs="Times New Roman"/>
          <w:sz w:val="24"/>
          <w:szCs w:val="24"/>
          <w:lang w:val="en-GB"/>
        </w:rPr>
        <w:t>, although they were oc</w:t>
      </w:r>
      <w:r w:rsidR="00E82407">
        <w:rPr>
          <w:rFonts w:ascii="Times New Roman" w:hAnsi="Times New Roman" w:cs="Times New Roman"/>
          <w:sz w:val="24"/>
          <w:szCs w:val="24"/>
          <w:lang w:val="en-GB"/>
        </w:rPr>
        <w:t>casionally replaced by industry-level agreements.</w:t>
      </w:r>
    </w:p>
    <w:p w14:paraId="363796F3" w14:textId="62B3A4E6" w:rsidR="00CB285B" w:rsidRDefault="00802CC7" w:rsidP="00CA619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200</w:t>
      </w:r>
      <w:r w:rsidR="00F317F7">
        <w:rPr>
          <w:rFonts w:ascii="Times New Roman" w:hAnsi="Times New Roman" w:cs="Times New Roman"/>
          <w:sz w:val="24"/>
          <w:szCs w:val="24"/>
          <w:lang w:val="en-GB"/>
        </w:rPr>
        <w:t>7, the</w:t>
      </w:r>
      <w:r w:rsidR="005021DA">
        <w:rPr>
          <w:rFonts w:ascii="Times New Roman" w:hAnsi="Times New Roman" w:cs="Times New Roman"/>
          <w:sz w:val="24"/>
          <w:szCs w:val="24"/>
          <w:lang w:val="en-GB"/>
        </w:rPr>
        <w:t xml:space="preserve"> Confederation of Finnish Industries (</w:t>
      </w:r>
      <w:r w:rsidR="005021DA">
        <w:rPr>
          <w:rFonts w:ascii="Times New Roman" w:hAnsi="Times New Roman" w:cs="Times New Roman"/>
          <w:i/>
          <w:iCs/>
          <w:sz w:val="24"/>
          <w:szCs w:val="24"/>
          <w:lang w:val="en-GB"/>
        </w:rPr>
        <w:t>E</w:t>
      </w:r>
      <w:r w:rsidR="008C73EB">
        <w:rPr>
          <w:rFonts w:ascii="Times New Roman" w:hAnsi="Times New Roman" w:cs="Times New Roman"/>
          <w:i/>
          <w:iCs/>
          <w:sz w:val="24"/>
          <w:szCs w:val="24"/>
          <w:lang w:val="en-GB"/>
        </w:rPr>
        <w:t>K</w:t>
      </w:r>
      <w:r w:rsidR="008C73EB">
        <w:rPr>
          <w:rFonts w:ascii="Times New Roman" w:hAnsi="Times New Roman" w:cs="Times New Roman"/>
          <w:sz w:val="24"/>
          <w:szCs w:val="24"/>
          <w:lang w:val="en-GB"/>
        </w:rPr>
        <w:t>), the</w:t>
      </w:r>
      <w:r w:rsidR="00F317F7">
        <w:rPr>
          <w:rFonts w:ascii="Times New Roman" w:hAnsi="Times New Roman" w:cs="Times New Roman"/>
          <w:sz w:val="24"/>
          <w:szCs w:val="24"/>
          <w:lang w:val="en-GB"/>
        </w:rPr>
        <w:t xml:space="preserve"> peak organisation for priva</w:t>
      </w:r>
      <w:r w:rsidR="005021DA">
        <w:rPr>
          <w:rFonts w:ascii="Times New Roman" w:hAnsi="Times New Roman" w:cs="Times New Roman"/>
          <w:sz w:val="24"/>
          <w:szCs w:val="24"/>
          <w:lang w:val="en-GB"/>
        </w:rPr>
        <w:t>te employers</w:t>
      </w:r>
      <w:r w:rsidR="00C01B67">
        <w:rPr>
          <w:rFonts w:ascii="Times New Roman" w:hAnsi="Times New Roman" w:cs="Times New Roman"/>
          <w:sz w:val="24"/>
          <w:szCs w:val="24"/>
          <w:lang w:val="en-GB"/>
        </w:rPr>
        <w:t xml:space="preserve">, decided </w:t>
      </w:r>
      <w:r w:rsidR="00250079">
        <w:rPr>
          <w:rFonts w:ascii="Times New Roman" w:hAnsi="Times New Roman" w:cs="Times New Roman"/>
          <w:sz w:val="24"/>
          <w:szCs w:val="24"/>
          <w:lang w:val="en-GB"/>
        </w:rPr>
        <w:t xml:space="preserve">no longer to take part </w:t>
      </w:r>
      <w:r w:rsidR="00E17B6A">
        <w:rPr>
          <w:rFonts w:ascii="Times New Roman" w:hAnsi="Times New Roman" w:cs="Times New Roman"/>
          <w:sz w:val="24"/>
          <w:szCs w:val="24"/>
          <w:lang w:val="en-GB"/>
        </w:rPr>
        <w:t>in centralised bargaining</w:t>
      </w:r>
      <w:r w:rsidR="00A84E47">
        <w:rPr>
          <w:rFonts w:ascii="Times New Roman" w:hAnsi="Times New Roman" w:cs="Times New Roman"/>
          <w:sz w:val="24"/>
          <w:szCs w:val="24"/>
          <w:lang w:val="en-GB"/>
        </w:rPr>
        <w:t xml:space="preserve">. </w:t>
      </w:r>
      <w:r w:rsidR="00A15EF7">
        <w:rPr>
          <w:rFonts w:ascii="Times New Roman" w:hAnsi="Times New Roman" w:cs="Times New Roman"/>
          <w:sz w:val="24"/>
          <w:szCs w:val="24"/>
          <w:lang w:val="en-GB"/>
        </w:rPr>
        <w:t>The next</w:t>
      </w:r>
      <w:r w:rsidR="005F7D99">
        <w:rPr>
          <w:rFonts w:ascii="Times New Roman" w:hAnsi="Times New Roman" w:cs="Times New Roman"/>
          <w:sz w:val="24"/>
          <w:szCs w:val="24"/>
          <w:lang w:val="en-GB"/>
        </w:rPr>
        <w:t xml:space="preserve"> two bargaining rounds</w:t>
      </w:r>
      <w:r w:rsidR="00A84E47">
        <w:rPr>
          <w:rFonts w:ascii="Times New Roman" w:hAnsi="Times New Roman" w:cs="Times New Roman"/>
          <w:sz w:val="24"/>
          <w:szCs w:val="24"/>
          <w:lang w:val="en-GB"/>
        </w:rPr>
        <w:t xml:space="preserve"> </w:t>
      </w:r>
      <w:r w:rsidR="001F1A7F">
        <w:rPr>
          <w:rFonts w:ascii="Times New Roman" w:hAnsi="Times New Roman" w:cs="Times New Roman"/>
          <w:sz w:val="24"/>
          <w:szCs w:val="24"/>
          <w:lang w:val="en-GB"/>
        </w:rPr>
        <w:t>were</w:t>
      </w:r>
      <w:r w:rsidR="00A84E47">
        <w:rPr>
          <w:rFonts w:ascii="Times New Roman" w:hAnsi="Times New Roman" w:cs="Times New Roman"/>
          <w:sz w:val="24"/>
          <w:szCs w:val="24"/>
          <w:lang w:val="en-GB"/>
        </w:rPr>
        <w:t xml:space="preserve"> at the industry level.</w:t>
      </w:r>
      <w:r w:rsidR="00B029DB">
        <w:rPr>
          <w:rFonts w:ascii="Times New Roman" w:hAnsi="Times New Roman" w:cs="Times New Roman"/>
          <w:sz w:val="24"/>
          <w:szCs w:val="24"/>
          <w:lang w:val="en-GB"/>
        </w:rPr>
        <w:t xml:space="preserve"> A co</w:t>
      </w:r>
      <w:r w:rsidR="00774AA9">
        <w:rPr>
          <w:rFonts w:ascii="Times New Roman" w:hAnsi="Times New Roman" w:cs="Times New Roman"/>
          <w:sz w:val="24"/>
          <w:szCs w:val="24"/>
          <w:lang w:val="en-GB"/>
        </w:rPr>
        <w:t>mbination of high wage increases and economic crises (</w:t>
      </w:r>
      <w:r w:rsidR="00D30D53">
        <w:rPr>
          <w:rFonts w:ascii="Times New Roman" w:hAnsi="Times New Roman" w:cs="Times New Roman"/>
          <w:sz w:val="24"/>
          <w:szCs w:val="24"/>
          <w:lang w:val="en-GB"/>
        </w:rPr>
        <w:t xml:space="preserve">the </w:t>
      </w:r>
      <w:r w:rsidR="001B7821">
        <w:rPr>
          <w:rFonts w:ascii="Times New Roman" w:hAnsi="Times New Roman" w:cs="Times New Roman"/>
          <w:sz w:val="24"/>
          <w:szCs w:val="24"/>
          <w:lang w:val="en-GB"/>
        </w:rPr>
        <w:t xml:space="preserve">global financial crisis and a home-grown crisis </w:t>
      </w:r>
      <w:r w:rsidR="00F42FB0">
        <w:rPr>
          <w:rFonts w:ascii="Times New Roman" w:hAnsi="Times New Roman" w:cs="Times New Roman"/>
          <w:sz w:val="24"/>
          <w:szCs w:val="24"/>
          <w:lang w:val="en-GB"/>
        </w:rPr>
        <w:t xml:space="preserve">associated with the collapse of Nokia, </w:t>
      </w:r>
      <w:r w:rsidR="00F42FB0">
        <w:rPr>
          <w:rFonts w:ascii="Times New Roman" w:hAnsi="Times New Roman" w:cs="Times New Roman"/>
          <w:sz w:val="24"/>
          <w:szCs w:val="24"/>
          <w:lang w:val="en-GB"/>
        </w:rPr>
        <w:lastRenderedPageBreak/>
        <w:t>falling t</w:t>
      </w:r>
      <w:r w:rsidR="003248C4">
        <w:rPr>
          <w:rFonts w:ascii="Times New Roman" w:hAnsi="Times New Roman" w:cs="Times New Roman"/>
          <w:sz w:val="24"/>
          <w:szCs w:val="24"/>
          <w:lang w:val="en-GB"/>
        </w:rPr>
        <w:t>rade with Russia and stagnating demand for forest and steel products)</w:t>
      </w:r>
      <w:r w:rsidR="00DD1863">
        <w:rPr>
          <w:rFonts w:ascii="Times New Roman" w:hAnsi="Times New Roman" w:cs="Times New Roman"/>
          <w:sz w:val="24"/>
          <w:szCs w:val="24"/>
          <w:lang w:val="en-GB"/>
        </w:rPr>
        <w:t>, however,</w:t>
      </w:r>
      <w:r w:rsidR="003248C4">
        <w:rPr>
          <w:rFonts w:ascii="Times New Roman" w:hAnsi="Times New Roman" w:cs="Times New Roman"/>
          <w:sz w:val="24"/>
          <w:szCs w:val="24"/>
          <w:lang w:val="en-GB"/>
        </w:rPr>
        <w:t xml:space="preserve"> </w:t>
      </w:r>
      <w:r w:rsidR="0040622A">
        <w:rPr>
          <w:rFonts w:ascii="Times New Roman" w:hAnsi="Times New Roman" w:cs="Times New Roman"/>
          <w:sz w:val="24"/>
          <w:szCs w:val="24"/>
          <w:lang w:val="en-GB"/>
        </w:rPr>
        <w:t xml:space="preserve">triggered a new round of centralised </w:t>
      </w:r>
      <w:r w:rsidR="00176F98">
        <w:rPr>
          <w:rFonts w:ascii="Times New Roman" w:hAnsi="Times New Roman" w:cs="Times New Roman"/>
          <w:sz w:val="24"/>
          <w:szCs w:val="24"/>
          <w:lang w:val="en-GB"/>
        </w:rPr>
        <w:t>incomes policy agreements in 2011–16</w:t>
      </w:r>
      <w:r w:rsidR="001852A1">
        <w:rPr>
          <w:rFonts w:ascii="Times New Roman" w:hAnsi="Times New Roman" w:cs="Times New Roman"/>
          <w:sz w:val="24"/>
          <w:szCs w:val="24"/>
          <w:lang w:val="en-GB"/>
        </w:rPr>
        <w:t xml:space="preserve"> in order to improve international cost competitiveness</w:t>
      </w:r>
      <w:r w:rsidR="0053180C">
        <w:rPr>
          <w:rFonts w:ascii="Times New Roman" w:hAnsi="Times New Roman" w:cs="Times New Roman"/>
          <w:sz w:val="24"/>
          <w:szCs w:val="24"/>
          <w:lang w:val="en-GB"/>
        </w:rPr>
        <w:t xml:space="preserve">. At the same </w:t>
      </w:r>
      <w:r w:rsidR="00E85FEB">
        <w:rPr>
          <w:rFonts w:ascii="Times New Roman" w:hAnsi="Times New Roman" w:cs="Times New Roman"/>
          <w:sz w:val="24"/>
          <w:szCs w:val="24"/>
          <w:lang w:val="en-GB"/>
        </w:rPr>
        <w:t xml:space="preserve">time, </w:t>
      </w:r>
      <w:r w:rsidR="001A4FB9">
        <w:rPr>
          <w:rFonts w:ascii="Times New Roman" w:hAnsi="Times New Roman" w:cs="Times New Roman"/>
          <w:sz w:val="24"/>
          <w:szCs w:val="24"/>
          <w:lang w:val="en-GB"/>
        </w:rPr>
        <w:t>the</w:t>
      </w:r>
      <w:r w:rsidR="000B111A">
        <w:rPr>
          <w:rFonts w:ascii="Times New Roman" w:hAnsi="Times New Roman" w:cs="Times New Roman"/>
          <w:sz w:val="24"/>
          <w:szCs w:val="24"/>
          <w:lang w:val="en-GB"/>
        </w:rPr>
        <w:t xml:space="preserve"> leading employer associations in </w:t>
      </w:r>
      <w:r w:rsidR="00360BA6">
        <w:rPr>
          <w:rFonts w:ascii="Times New Roman" w:hAnsi="Times New Roman" w:cs="Times New Roman"/>
          <w:sz w:val="24"/>
          <w:szCs w:val="24"/>
          <w:lang w:val="en-GB"/>
        </w:rPr>
        <w:t>the export sector</w:t>
      </w:r>
      <w:r w:rsidR="00865BAA">
        <w:rPr>
          <w:rFonts w:ascii="Times New Roman" w:hAnsi="Times New Roman" w:cs="Times New Roman"/>
          <w:sz w:val="24"/>
          <w:szCs w:val="24"/>
          <w:lang w:val="en-GB"/>
        </w:rPr>
        <w:t xml:space="preserve"> (technology,</w:t>
      </w:r>
      <w:r w:rsidR="009B1003">
        <w:rPr>
          <w:rFonts w:ascii="Times New Roman" w:hAnsi="Times New Roman" w:cs="Times New Roman"/>
          <w:sz w:val="24"/>
          <w:szCs w:val="24"/>
          <w:lang w:val="en-GB"/>
        </w:rPr>
        <w:t xml:space="preserve"> forest and chemical industries) </w:t>
      </w:r>
      <w:r w:rsidR="00D912D3">
        <w:rPr>
          <w:rFonts w:ascii="Times New Roman" w:hAnsi="Times New Roman" w:cs="Times New Roman"/>
          <w:sz w:val="24"/>
          <w:szCs w:val="24"/>
          <w:lang w:val="en-GB"/>
        </w:rPr>
        <w:t xml:space="preserve">campaigned </w:t>
      </w:r>
      <w:r w:rsidR="00360BA6">
        <w:rPr>
          <w:rFonts w:ascii="Times New Roman" w:hAnsi="Times New Roman" w:cs="Times New Roman"/>
          <w:sz w:val="24"/>
          <w:szCs w:val="24"/>
          <w:lang w:val="en-GB"/>
        </w:rPr>
        <w:t xml:space="preserve">for </w:t>
      </w:r>
      <w:r w:rsidR="00CE1C02">
        <w:rPr>
          <w:rFonts w:ascii="Times New Roman" w:hAnsi="Times New Roman" w:cs="Times New Roman"/>
          <w:sz w:val="24"/>
          <w:szCs w:val="24"/>
          <w:lang w:val="en-GB"/>
        </w:rPr>
        <w:t>a transition to industry</w:t>
      </w:r>
      <w:r w:rsidR="00191250">
        <w:rPr>
          <w:rFonts w:ascii="Times New Roman" w:hAnsi="Times New Roman" w:cs="Times New Roman"/>
          <w:sz w:val="24"/>
          <w:szCs w:val="24"/>
          <w:lang w:val="en-GB"/>
        </w:rPr>
        <w:t xml:space="preserve">-level </w:t>
      </w:r>
      <w:r w:rsidR="006C33B7">
        <w:rPr>
          <w:rFonts w:ascii="Times New Roman" w:hAnsi="Times New Roman" w:cs="Times New Roman"/>
          <w:sz w:val="24"/>
          <w:szCs w:val="24"/>
          <w:lang w:val="en-GB"/>
        </w:rPr>
        <w:t xml:space="preserve">pattern </w:t>
      </w:r>
      <w:r w:rsidR="00191250">
        <w:rPr>
          <w:rFonts w:ascii="Times New Roman" w:hAnsi="Times New Roman" w:cs="Times New Roman"/>
          <w:sz w:val="24"/>
          <w:szCs w:val="24"/>
          <w:lang w:val="en-GB"/>
        </w:rPr>
        <w:t>bargaining w</w:t>
      </w:r>
      <w:r w:rsidR="008D174A">
        <w:rPr>
          <w:rFonts w:ascii="Times New Roman" w:hAnsi="Times New Roman" w:cs="Times New Roman"/>
          <w:sz w:val="24"/>
          <w:szCs w:val="24"/>
          <w:lang w:val="en-GB"/>
        </w:rPr>
        <w:t>her</w:t>
      </w:r>
      <w:r w:rsidR="00191250">
        <w:rPr>
          <w:rFonts w:ascii="Times New Roman" w:hAnsi="Times New Roman" w:cs="Times New Roman"/>
          <w:sz w:val="24"/>
          <w:szCs w:val="24"/>
          <w:lang w:val="en-GB"/>
        </w:rPr>
        <w:t xml:space="preserve">e </w:t>
      </w:r>
      <w:r w:rsidR="004E2DBF">
        <w:rPr>
          <w:rFonts w:ascii="Times New Roman" w:hAnsi="Times New Roman" w:cs="Times New Roman"/>
          <w:sz w:val="24"/>
          <w:szCs w:val="24"/>
          <w:lang w:val="en-GB"/>
        </w:rPr>
        <w:t xml:space="preserve">this sector </w:t>
      </w:r>
      <w:r w:rsidR="00191250">
        <w:rPr>
          <w:rFonts w:ascii="Times New Roman" w:hAnsi="Times New Roman" w:cs="Times New Roman"/>
          <w:sz w:val="24"/>
          <w:szCs w:val="24"/>
          <w:lang w:val="en-GB"/>
        </w:rPr>
        <w:t>would set the norm for economy-wide increases</w:t>
      </w:r>
      <w:r w:rsidR="00A26DD1">
        <w:rPr>
          <w:rFonts w:ascii="Times New Roman" w:hAnsi="Times New Roman" w:cs="Times New Roman"/>
          <w:sz w:val="24"/>
          <w:szCs w:val="24"/>
          <w:lang w:val="en-GB"/>
        </w:rPr>
        <w:t xml:space="preserve">, with Denmark and Sweden seen </w:t>
      </w:r>
      <w:r w:rsidR="006C33B7">
        <w:rPr>
          <w:rFonts w:ascii="Times New Roman" w:hAnsi="Times New Roman" w:cs="Times New Roman"/>
          <w:sz w:val="24"/>
          <w:szCs w:val="24"/>
          <w:lang w:val="en-GB"/>
        </w:rPr>
        <w:t>as role models</w:t>
      </w:r>
      <w:r w:rsidR="00FC47CE">
        <w:rPr>
          <w:rFonts w:ascii="Times New Roman" w:hAnsi="Times New Roman" w:cs="Times New Roman"/>
          <w:sz w:val="24"/>
          <w:szCs w:val="24"/>
          <w:lang w:val="en-GB"/>
        </w:rPr>
        <w:t>.</w:t>
      </w:r>
      <w:r w:rsidR="005561DF">
        <w:rPr>
          <w:rStyle w:val="FootnoteReference"/>
          <w:rFonts w:ascii="Times New Roman" w:hAnsi="Times New Roman" w:cs="Times New Roman"/>
          <w:sz w:val="24"/>
          <w:szCs w:val="24"/>
          <w:lang w:val="en-GB"/>
        </w:rPr>
        <w:footnoteReference w:id="9"/>
      </w:r>
    </w:p>
    <w:p w14:paraId="2042C6DA" w14:textId="3EE7EE34" w:rsidR="00343B3A" w:rsidRDefault="00BD433D" w:rsidP="00CA619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 change in this direction occurred in 2016</w:t>
      </w:r>
      <w:r w:rsidR="00F335E9">
        <w:rPr>
          <w:rFonts w:ascii="Times New Roman" w:hAnsi="Times New Roman" w:cs="Times New Roman"/>
          <w:sz w:val="24"/>
          <w:szCs w:val="24"/>
          <w:lang w:val="en-GB"/>
        </w:rPr>
        <w:t>, after EK</w:t>
      </w:r>
      <w:r w:rsidR="00DD5488">
        <w:rPr>
          <w:rFonts w:ascii="Times New Roman" w:hAnsi="Times New Roman" w:cs="Times New Roman"/>
          <w:sz w:val="24"/>
          <w:szCs w:val="24"/>
          <w:lang w:val="en-GB"/>
        </w:rPr>
        <w:t xml:space="preserve"> had</w:t>
      </w:r>
      <w:r w:rsidR="00F335E9">
        <w:rPr>
          <w:rFonts w:ascii="Times New Roman" w:hAnsi="Times New Roman" w:cs="Times New Roman"/>
          <w:sz w:val="24"/>
          <w:szCs w:val="24"/>
          <w:lang w:val="en-GB"/>
        </w:rPr>
        <w:t xml:space="preserve"> revised </w:t>
      </w:r>
      <w:r w:rsidR="00601A04">
        <w:rPr>
          <w:rFonts w:ascii="Times New Roman" w:hAnsi="Times New Roman" w:cs="Times New Roman"/>
          <w:sz w:val="24"/>
          <w:szCs w:val="24"/>
          <w:lang w:val="en-GB"/>
        </w:rPr>
        <w:t>its</w:t>
      </w:r>
      <w:r w:rsidR="00F335E9">
        <w:rPr>
          <w:rFonts w:ascii="Times New Roman" w:hAnsi="Times New Roman" w:cs="Times New Roman"/>
          <w:sz w:val="24"/>
          <w:szCs w:val="24"/>
          <w:lang w:val="en-GB"/>
        </w:rPr>
        <w:t xml:space="preserve"> statutes so that the organisation </w:t>
      </w:r>
      <w:r w:rsidR="00DC748B">
        <w:rPr>
          <w:rFonts w:ascii="Times New Roman" w:hAnsi="Times New Roman" w:cs="Times New Roman"/>
          <w:sz w:val="24"/>
          <w:szCs w:val="24"/>
          <w:lang w:val="en-GB"/>
        </w:rPr>
        <w:t xml:space="preserve">could no longer negotiate binding agreements for </w:t>
      </w:r>
      <w:r w:rsidR="005C27B8">
        <w:rPr>
          <w:rFonts w:ascii="Times New Roman" w:hAnsi="Times New Roman" w:cs="Times New Roman"/>
          <w:sz w:val="24"/>
          <w:szCs w:val="24"/>
          <w:lang w:val="en-GB"/>
        </w:rPr>
        <w:t xml:space="preserve">member organisations. </w:t>
      </w:r>
      <w:r w:rsidR="00B7343D">
        <w:rPr>
          <w:rFonts w:ascii="Times New Roman" w:hAnsi="Times New Roman" w:cs="Times New Roman"/>
          <w:sz w:val="24"/>
          <w:szCs w:val="24"/>
          <w:lang w:val="en-GB"/>
        </w:rPr>
        <w:t xml:space="preserve">Subsequently, bargaining has occurred at the </w:t>
      </w:r>
      <w:r w:rsidR="004524D6">
        <w:rPr>
          <w:rFonts w:ascii="Times New Roman" w:hAnsi="Times New Roman" w:cs="Times New Roman"/>
          <w:sz w:val="24"/>
          <w:szCs w:val="24"/>
          <w:lang w:val="en-GB"/>
        </w:rPr>
        <w:t>industry level with</w:t>
      </w:r>
      <w:r w:rsidR="00BE37DF">
        <w:rPr>
          <w:rFonts w:ascii="Times New Roman" w:hAnsi="Times New Roman" w:cs="Times New Roman"/>
          <w:sz w:val="24"/>
          <w:szCs w:val="24"/>
          <w:lang w:val="en-GB"/>
        </w:rPr>
        <w:t xml:space="preserve"> the technology </w:t>
      </w:r>
      <w:r w:rsidR="00205C6E">
        <w:rPr>
          <w:rFonts w:ascii="Times New Roman" w:hAnsi="Times New Roman" w:cs="Times New Roman"/>
          <w:sz w:val="24"/>
          <w:szCs w:val="24"/>
          <w:lang w:val="en-GB"/>
        </w:rPr>
        <w:t xml:space="preserve">industry </w:t>
      </w:r>
      <w:r w:rsidR="00632E59">
        <w:rPr>
          <w:rFonts w:ascii="Times New Roman" w:hAnsi="Times New Roman" w:cs="Times New Roman"/>
          <w:sz w:val="24"/>
          <w:szCs w:val="24"/>
          <w:lang w:val="en-GB"/>
        </w:rPr>
        <w:t xml:space="preserve">as pattern setter. </w:t>
      </w:r>
      <w:r w:rsidR="00CC7AC0">
        <w:rPr>
          <w:rFonts w:ascii="Times New Roman" w:hAnsi="Times New Roman" w:cs="Times New Roman"/>
          <w:sz w:val="24"/>
          <w:szCs w:val="24"/>
          <w:lang w:val="en-GB"/>
        </w:rPr>
        <w:t>But the system has not yet stabilised</w:t>
      </w:r>
      <w:r w:rsidR="003B08C5">
        <w:rPr>
          <w:rFonts w:ascii="Times New Roman" w:hAnsi="Times New Roman" w:cs="Times New Roman"/>
          <w:sz w:val="24"/>
          <w:szCs w:val="24"/>
          <w:lang w:val="en-GB"/>
        </w:rPr>
        <w:t>.</w:t>
      </w:r>
      <w:r w:rsidR="00EB5CDF">
        <w:rPr>
          <w:rFonts w:ascii="Times New Roman" w:hAnsi="Times New Roman" w:cs="Times New Roman"/>
          <w:sz w:val="24"/>
          <w:szCs w:val="24"/>
          <w:lang w:val="en-GB"/>
        </w:rPr>
        <w:t xml:space="preserve"> </w:t>
      </w:r>
      <w:r w:rsidR="004C7584">
        <w:rPr>
          <w:rFonts w:ascii="Times New Roman" w:hAnsi="Times New Roman" w:cs="Times New Roman"/>
          <w:sz w:val="24"/>
          <w:szCs w:val="24"/>
          <w:lang w:val="en-GB"/>
        </w:rPr>
        <w:t xml:space="preserve">The forest </w:t>
      </w:r>
      <w:r w:rsidR="00D32CCC">
        <w:rPr>
          <w:rFonts w:ascii="Times New Roman" w:hAnsi="Times New Roman" w:cs="Times New Roman"/>
          <w:sz w:val="24"/>
          <w:szCs w:val="24"/>
          <w:lang w:val="en-GB"/>
        </w:rPr>
        <w:t xml:space="preserve">industry </w:t>
      </w:r>
      <w:r w:rsidR="00441AB0">
        <w:rPr>
          <w:rFonts w:ascii="Times New Roman" w:hAnsi="Times New Roman" w:cs="Times New Roman"/>
          <w:sz w:val="24"/>
          <w:szCs w:val="24"/>
          <w:lang w:val="en-GB"/>
        </w:rPr>
        <w:t xml:space="preserve">has turned to </w:t>
      </w:r>
      <w:r w:rsidR="004436CC">
        <w:rPr>
          <w:rFonts w:ascii="Times New Roman" w:hAnsi="Times New Roman" w:cs="Times New Roman"/>
          <w:sz w:val="24"/>
          <w:szCs w:val="24"/>
          <w:lang w:val="en-GB"/>
        </w:rPr>
        <w:t>firm</w:t>
      </w:r>
      <w:r w:rsidR="00C97EB0">
        <w:rPr>
          <w:rFonts w:ascii="Times New Roman" w:hAnsi="Times New Roman" w:cs="Times New Roman"/>
          <w:sz w:val="24"/>
          <w:szCs w:val="24"/>
          <w:lang w:val="en-GB"/>
        </w:rPr>
        <w:t xml:space="preserve"> </w:t>
      </w:r>
      <w:r w:rsidR="004436CC">
        <w:rPr>
          <w:rFonts w:ascii="Times New Roman" w:hAnsi="Times New Roman" w:cs="Times New Roman"/>
          <w:sz w:val="24"/>
          <w:szCs w:val="24"/>
          <w:lang w:val="en-GB"/>
        </w:rPr>
        <w:t xml:space="preserve">level bargaining from </w:t>
      </w:r>
      <w:r w:rsidR="00A91C4C">
        <w:rPr>
          <w:rFonts w:ascii="Times New Roman" w:hAnsi="Times New Roman" w:cs="Times New Roman"/>
          <w:sz w:val="24"/>
          <w:szCs w:val="24"/>
          <w:lang w:val="en-GB"/>
        </w:rPr>
        <w:t>2021 after the Finnish Forest Industries Federation (</w:t>
      </w:r>
      <w:r w:rsidR="00A91C4C">
        <w:rPr>
          <w:rFonts w:ascii="Times New Roman" w:hAnsi="Times New Roman" w:cs="Times New Roman"/>
          <w:i/>
          <w:iCs/>
          <w:sz w:val="24"/>
          <w:szCs w:val="24"/>
          <w:lang w:val="en-GB"/>
        </w:rPr>
        <w:t>FFIF</w:t>
      </w:r>
      <w:r w:rsidR="00A91C4C">
        <w:rPr>
          <w:rFonts w:ascii="Times New Roman" w:hAnsi="Times New Roman" w:cs="Times New Roman"/>
          <w:sz w:val="24"/>
          <w:szCs w:val="24"/>
          <w:lang w:val="en-GB"/>
        </w:rPr>
        <w:t>)</w:t>
      </w:r>
      <w:r w:rsidR="006A6EA0">
        <w:rPr>
          <w:rFonts w:ascii="Times New Roman" w:hAnsi="Times New Roman" w:cs="Times New Roman"/>
          <w:sz w:val="24"/>
          <w:szCs w:val="24"/>
          <w:lang w:val="en-GB"/>
        </w:rPr>
        <w:t xml:space="preserve"> abandoned industry</w:t>
      </w:r>
      <w:r w:rsidR="00C97EB0">
        <w:rPr>
          <w:rFonts w:ascii="Times New Roman" w:hAnsi="Times New Roman" w:cs="Times New Roman"/>
          <w:sz w:val="24"/>
          <w:szCs w:val="24"/>
          <w:lang w:val="en-GB"/>
        </w:rPr>
        <w:t xml:space="preserve"> </w:t>
      </w:r>
      <w:r w:rsidR="006A6EA0">
        <w:rPr>
          <w:rFonts w:ascii="Times New Roman" w:hAnsi="Times New Roman" w:cs="Times New Roman"/>
          <w:sz w:val="24"/>
          <w:szCs w:val="24"/>
          <w:lang w:val="en-GB"/>
        </w:rPr>
        <w:t xml:space="preserve">level bargaining. </w:t>
      </w:r>
      <w:r w:rsidR="00C14701">
        <w:rPr>
          <w:rFonts w:ascii="Times New Roman" w:hAnsi="Times New Roman" w:cs="Times New Roman"/>
          <w:sz w:val="24"/>
          <w:szCs w:val="24"/>
          <w:lang w:val="en-GB"/>
        </w:rPr>
        <w:t>The Technology Industries of Fi</w:t>
      </w:r>
      <w:r w:rsidR="00810CC1">
        <w:rPr>
          <w:rFonts w:ascii="Times New Roman" w:hAnsi="Times New Roman" w:cs="Times New Roman"/>
          <w:sz w:val="24"/>
          <w:szCs w:val="24"/>
          <w:lang w:val="en-GB"/>
        </w:rPr>
        <w:t>nland (</w:t>
      </w:r>
      <w:r w:rsidR="00810CC1">
        <w:rPr>
          <w:rFonts w:ascii="Times New Roman" w:hAnsi="Times New Roman" w:cs="Times New Roman"/>
          <w:i/>
          <w:iCs/>
          <w:sz w:val="24"/>
          <w:szCs w:val="24"/>
          <w:lang w:val="en-GB"/>
        </w:rPr>
        <w:t>TT</w:t>
      </w:r>
      <w:r w:rsidR="00810CC1">
        <w:rPr>
          <w:rFonts w:ascii="Times New Roman" w:hAnsi="Times New Roman" w:cs="Times New Roman"/>
          <w:sz w:val="24"/>
          <w:szCs w:val="24"/>
          <w:lang w:val="en-GB"/>
        </w:rPr>
        <w:t xml:space="preserve">) </w:t>
      </w:r>
      <w:r w:rsidR="004413C8">
        <w:rPr>
          <w:rFonts w:ascii="Times New Roman" w:hAnsi="Times New Roman" w:cs="Times New Roman"/>
          <w:sz w:val="24"/>
          <w:szCs w:val="24"/>
          <w:lang w:val="en-GB"/>
        </w:rPr>
        <w:t>allows member firms to cho</w:t>
      </w:r>
      <w:r w:rsidR="00FE7DAB">
        <w:rPr>
          <w:rFonts w:ascii="Times New Roman" w:hAnsi="Times New Roman" w:cs="Times New Roman"/>
          <w:sz w:val="24"/>
          <w:szCs w:val="24"/>
          <w:lang w:val="en-GB"/>
        </w:rPr>
        <w:t>o</w:t>
      </w:r>
      <w:r w:rsidR="004413C8">
        <w:rPr>
          <w:rFonts w:ascii="Times New Roman" w:hAnsi="Times New Roman" w:cs="Times New Roman"/>
          <w:sz w:val="24"/>
          <w:szCs w:val="24"/>
          <w:lang w:val="en-GB"/>
        </w:rPr>
        <w:t>se between firm-level and industry-level agreements</w:t>
      </w:r>
      <w:r w:rsidR="00E71D4E">
        <w:rPr>
          <w:rFonts w:ascii="Times New Roman" w:hAnsi="Times New Roman" w:cs="Times New Roman"/>
          <w:sz w:val="24"/>
          <w:szCs w:val="24"/>
          <w:lang w:val="en-GB"/>
        </w:rPr>
        <w:t>, but – except for IT</w:t>
      </w:r>
      <w:r w:rsidR="00FE7DAB">
        <w:rPr>
          <w:rFonts w:ascii="Times New Roman" w:hAnsi="Times New Roman" w:cs="Times New Roman"/>
          <w:sz w:val="24"/>
          <w:szCs w:val="24"/>
          <w:lang w:val="en-GB"/>
        </w:rPr>
        <w:t xml:space="preserve"> services – so many</w:t>
      </w:r>
      <w:r w:rsidR="00CA0F49">
        <w:rPr>
          <w:rFonts w:ascii="Times New Roman" w:hAnsi="Times New Roman" w:cs="Times New Roman"/>
          <w:sz w:val="24"/>
          <w:szCs w:val="24"/>
          <w:lang w:val="en-GB"/>
        </w:rPr>
        <w:t xml:space="preserve"> member</w:t>
      </w:r>
      <w:r w:rsidR="00FE7DAB">
        <w:rPr>
          <w:rFonts w:ascii="Times New Roman" w:hAnsi="Times New Roman" w:cs="Times New Roman"/>
          <w:sz w:val="24"/>
          <w:szCs w:val="24"/>
          <w:lang w:val="en-GB"/>
        </w:rPr>
        <w:t xml:space="preserve"> firms </w:t>
      </w:r>
      <w:r w:rsidR="009E02E6">
        <w:rPr>
          <w:rFonts w:ascii="Times New Roman" w:hAnsi="Times New Roman" w:cs="Times New Roman"/>
          <w:sz w:val="24"/>
          <w:szCs w:val="24"/>
          <w:lang w:val="en-GB"/>
        </w:rPr>
        <w:t xml:space="preserve">have </w:t>
      </w:r>
      <w:r w:rsidR="00FE7DAB">
        <w:rPr>
          <w:rFonts w:ascii="Times New Roman" w:hAnsi="Times New Roman" w:cs="Times New Roman"/>
          <w:sz w:val="24"/>
          <w:szCs w:val="24"/>
          <w:lang w:val="en-GB"/>
        </w:rPr>
        <w:t xml:space="preserve">opted </w:t>
      </w:r>
      <w:r w:rsidR="003D7D7A">
        <w:rPr>
          <w:rFonts w:ascii="Times New Roman" w:hAnsi="Times New Roman" w:cs="Times New Roman"/>
          <w:sz w:val="24"/>
          <w:szCs w:val="24"/>
          <w:lang w:val="en-GB"/>
        </w:rPr>
        <w:t xml:space="preserve">for </w:t>
      </w:r>
      <w:r w:rsidR="00CA0F49">
        <w:rPr>
          <w:rFonts w:ascii="Times New Roman" w:hAnsi="Times New Roman" w:cs="Times New Roman"/>
          <w:sz w:val="24"/>
          <w:szCs w:val="24"/>
          <w:lang w:val="en-GB"/>
        </w:rPr>
        <w:t xml:space="preserve">the latter </w:t>
      </w:r>
      <w:r w:rsidR="009E02E6">
        <w:rPr>
          <w:rFonts w:ascii="Times New Roman" w:hAnsi="Times New Roman" w:cs="Times New Roman"/>
          <w:sz w:val="24"/>
          <w:szCs w:val="24"/>
          <w:lang w:val="en-GB"/>
        </w:rPr>
        <w:t>variant</w:t>
      </w:r>
      <w:r w:rsidR="00090F70">
        <w:rPr>
          <w:rFonts w:ascii="Times New Roman" w:hAnsi="Times New Roman" w:cs="Times New Roman"/>
          <w:sz w:val="24"/>
          <w:szCs w:val="24"/>
          <w:lang w:val="en-GB"/>
        </w:rPr>
        <w:t xml:space="preserve"> that </w:t>
      </w:r>
      <w:r w:rsidR="00F20531">
        <w:rPr>
          <w:rFonts w:ascii="Times New Roman" w:hAnsi="Times New Roman" w:cs="Times New Roman"/>
          <w:sz w:val="24"/>
          <w:szCs w:val="24"/>
          <w:lang w:val="en-GB"/>
        </w:rPr>
        <w:t>they became binding for all firms through legislated extension</w:t>
      </w:r>
      <w:r w:rsidR="00D14195">
        <w:rPr>
          <w:rFonts w:ascii="Times New Roman" w:hAnsi="Times New Roman" w:cs="Times New Roman"/>
          <w:sz w:val="24"/>
          <w:szCs w:val="24"/>
          <w:lang w:val="en-GB"/>
        </w:rPr>
        <w:t xml:space="preserve"> provisions.</w:t>
      </w:r>
      <w:r w:rsidR="00342183">
        <w:rPr>
          <w:rStyle w:val="FootnoteReference"/>
          <w:rFonts w:ascii="Times New Roman" w:hAnsi="Times New Roman" w:cs="Times New Roman"/>
          <w:sz w:val="24"/>
          <w:szCs w:val="24"/>
          <w:lang w:val="en-GB"/>
        </w:rPr>
        <w:footnoteReference w:id="10"/>
      </w:r>
      <w:r w:rsidR="00CA0F49">
        <w:rPr>
          <w:rFonts w:ascii="Times New Roman" w:hAnsi="Times New Roman" w:cs="Times New Roman"/>
          <w:sz w:val="24"/>
          <w:szCs w:val="24"/>
          <w:lang w:val="en-GB"/>
        </w:rPr>
        <w:t xml:space="preserve"> </w:t>
      </w:r>
    </w:p>
    <w:p w14:paraId="03E71B61" w14:textId="20BEA224" w:rsidR="003B322B" w:rsidRDefault="00A84BC7" w:rsidP="00CA619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00216D8F">
        <w:rPr>
          <w:rFonts w:ascii="Times New Roman" w:hAnsi="Times New Roman" w:cs="Times New Roman"/>
          <w:sz w:val="24"/>
          <w:szCs w:val="24"/>
          <w:lang w:val="en-GB"/>
        </w:rPr>
        <w:t xml:space="preserve">ublic-sector unions </w:t>
      </w:r>
      <w:r>
        <w:rPr>
          <w:rFonts w:ascii="Times New Roman" w:hAnsi="Times New Roman" w:cs="Times New Roman"/>
          <w:sz w:val="24"/>
          <w:szCs w:val="24"/>
          <w:lang w:val="en-GB"/>
        </w:rPr>
        <w:t>oppose</w:t>
      </w:r>
      <w:r w:rsidR="00216D8F">
        <w:rPr>
          <w:rFonts w:ascii="Times New Roman" w:hAnsi="Times New Roman" w:cs="Times New Roman"/>
          <w:sz w:val="24"/>
          <w:szCs w:val="24"/>
          <w:lang w:val="en-GB"/>
        </w:rPr>
        <w:t xml:space="preserve"> the idea </w:t>
      </w:r>
      <w:r w:rsidR="00444027">
        <w:rPr>
          <w:rFonts w:ascii="Times New Roman" w:hAnsi="Times New Roman" w:cs="Times New Roman"/>
          <w:sz w:val="24"/>
          <w:szCs w:val="24"/>
          <w:lang w:val="en-GB"/>
        </w:rPr>
        <w:t xml:space="preserve">that they should follow </w:t>
      </w:r>
      <w:r w:rsidR="00BD350D">
        <w:rPr>
          <w:rFonts w:ascii="Times New Roman" w:hAnsi="Times New Roman" w:cs="Times New Roman"/>
          <w:sz w:val="24"/>
          <w:szCs w:val="24"/>
          <w:lang w:val="en-GB"/>
        </w:rPr>
        <w:t xml:space="preserve">a norm </w:t>
      </w:r>
      <w:r w:rsidR="00FF0CAB">
        <w:rPr>
          <w:rFonts w:ascii="Times New Roman" w:hAnsi="Times New Roman" w:cs="Times New Roman"/>
          <w:sz w:val="24"/>
          <w:szCs w:val="24"/>
          <w:lang w:val="en-GB"/>
        </w:rPr>
        <w:t xml:space="preserve">set by the </w:t>
      </w:r>
      <w:r w:rsidR="00B80196">
        <w:rPr>
          <w:rFonts w:ascii="Times New Roman" w:hAnsi="Times New Roman" w:cs="Times New Roman"/>
          <w:sz w:val="24"/>
          <w:szCs w:val="24"/>
          <w:lang w:val="en-GB"/>
        </w:rPr>
        <w:t xml:space="preserve">export sector. </w:t>
      </w:r>
      <w:r w:rsidR="0041178D">
        <w:rPr>
          <w:rFonts w:ascii="Times New Roman" w:hAnsi="Times New Roman" w:cs="Times New Roman"/>
          <w:sz w:val="24"/>
          <w:szCs w:val="24"/>
          <w:lang w:val="en-GB"/>
        </w:rPr>
        <w:t>For the 2023–27 period</w:t>
      </w:r>
      <w:r w:rsidR="00EA2EBC">
        <w:rPr>
          <w:rFonts w:ascii="Times New Roman" w:hAnsi="Times New Roman" w:cs="Times New Roman"/>
          <w:sz w:val="24"/>
          <w:szCs w:val="24"/>
          <w:lang w:val="en-GB"/>
        </w:rPr>
        <w:t>,</w:t>
      </w:r>
      <w:r w:rsidR="0041178D">
        <w:rPr>
          <w:rFonts w:ascii="Times New Roman" w:hAnsi="Times New Roman" w:cs="Times New Roman"/>
          <w:sz w:val="24"/>
          <w:szCs w:val="24"/>
          <w:lang w:val="en-GB"/>
        </w:rPr>
        <w:t xml:space="preserve"> </w:t>
      </w:r>
      <w:r w:rsidR="000A3D60">
        <w:rPr>
          <w:rFonts w:ascii="Times New Roman" w:hAnsi="Times New Roman" w:cs="Times New Roman"/>
          <w:sz w:val="24"/>
          <w:szCs w:val="24"/>
          <w:lang w:val="en-GB"/>
        </w:rPr>
        <w:t>municipal</w:t>
      </w:r>
      <w:r w:rsidR="00EA2EBC">
        <w:rPr>
          <w:rFonts w:ascii="Times New Roman" w:hAnsi="Times New Roman" w:cs="Times New Roman"/>
          <w:sz w:val="24"/>
          <w:szCs w:val="24"/>
          <w:lang w:val="en-GB"/>
        </w:rPr>
        <w:t>-</w:t>
      </w:r>
      <w:r w:rsidR="000A3D60">
        <w:rPr>
          <w:rFonts w:ascii="Times New Roman" w:hAnsi="Times New Roman" w:cs="Times New Roman"/>
          <w:sz w:val="24"/>
          <w:szCs w:val="24"/>
          <w:lang w:val="en-GB"/>
        </w:rPr>
        <w:t>sector</w:t>
      </w:r>
      <w:r w:rsidR="00EA2EBC">
        <w:rPr>
          <w:rFonts w:ascii="Times New Roman" w:hAnsi="Times New Roman" w:cs="Times New Roman"/>
          <w:sz w:val="24"/>
          <w:szCs w:val="24"/>
          <w:lang w:val="en-GB"/>
        </w:rPr>
        <w:t xml:space="preserve"> unions</w:t>
      </w:r>
      <w:r w:rsidR="00341F50">
        <w:rPr>
          <w:rFonts w:ascii="Times New Roman" w:hAnsi="Times New Roman" w:cs="Times New Roman"/>
          <w:sz w:val="24"/>
          <w:szCs w:val="24"/>
          <w:lang w:val="en-GB"/>
        </w:rPr>
        <w:t xml:space="preserve"> </w:t>
      </w:r>
      <w:r w:rsidR="000A3D60">
        <w:rPr>
          <w:rFonts w:ascii="Times New Roman" w:hAnsi="Times New Roman" w:cs="Times New Roman"/>
          <w:sz w:val="24"/>
          <w:szCs w:val="24"/>
          <w:lang w:val="en-GB"/>
        </w:rPr>
        <w:t xml:space="preserve">after a conflict </w:t>
      </w:r>
      <w:r w:rsidR="00341F50">
        <w:rPr>
          <w:rFonts w:ascii="Times New Roman" w:hAnsi="Times New Roman" w:cs="Times New Roman"/>
          <w:sz w:val="24"/>
          <w:szCs w:val="24"/>
          <w:lang w:val="en-GB"/>
        </w:rPr>
        <w:t>negotiated</w:t>
      </w:r>
      <w:r w:rsidR="00F62748">
        <w:rPr>
          <w:rFonts w:ascii="Times New Roman" w:hAnsi="Times New Roman" w:cs="Times New Roman"/>
          <w:sz w:val="24"/>
          <w:szCs w:val="24"/>
          <w:lang w:val="en-GB"/>
        </w:rPr>
        <w:t xml:space="preserve"> a wage programme that will give them </w:t>
      </w:r>
      <w:r w:rsidR="005A4C86">
        <w:rPr>
          <w:rFonts w:ascii="Times New Roman" w:hAnsi="Times New Roman" w:cs="Times New Roman"/>
          <w:sz w:val="24"/>
          <w:szCs w:val="24"/>
          <w:lang w:val="en-GB"/>
        </w:rPr>
        <w:t>wage increases in excess o</w:t>
      </w:r>
      <w:r w:rsidR="00A75D95">
        <w:rPr>
          <w:rFonts w:ascii="Times New Roman" w:hAnsi="Times New Roman" w:cs="Times New Roman"/>
          <w:sz w:val="24"/>
          <w:szCs w:val="24"/>
          <w:lang w:val="en-GB"/>
        </w:rPr>
        <w:t xml:space="preserve">f the general </w:t>
      </w:r>
      <w:r w:rsidR="00BE5F53">
        <w:rPr>
          <w:rFonts w:ascii="Times New Roman" w:hAnsi="Times New Roman" w:cs="Times New Roman"/>
          <w:sz w:val="24"/>
          <w:szCs w:val="24"/>
          <w:lang w:val="en-GB"/>
        </w:rPr>
        <w:t>ones</w:t>
      </w:r>
      <w:r w:rsidR="00A75D95">
        <w:rPr>
          <w:rFonts w:ascii="Times New Roman" w:hAnsi="Times New Roman" w:cs="Times New Roman"/>
          <w:sz w:val="24"/>
          <w:szCs w:val="24"/>
          <w:lang w:val="en-GB"/>
        </w:rPr>
        <w:t xml:space="preserve"> in the economy.</w:t>
      </w:r>
      <w:r w:rsidR="00BE5F53">
        <w:rPr>
          <w:rFonts w:ascii="Times New Roman" w:hAnsi="Times New Roman" w:cs="Times New Roman"/>
          <w:sz w:val="24"/>
          <w:szCs w:val="24"/>
          <w:lang w:val="en-GB"/>
        </w:rPr>
        <w:t xml:space="preserve"> </w:t>
      </w:r>
    </w:p>
    <w:p w14:paraId="3D2D27E5" w14:textId="79077B22" w:rsidR="00FF2B4A" w:rsidRPr="002A44EF" w:rsidRDefault="001E3F5D" w:rsidP="002A44EF">
      <w:pPr>
        <w:spacing w:line="360" w:lineRule="auto"/>
        <w:jc w:val="both"/>
        <w:rPr>
          <w:rFonts w:ascii="Times New Roman" w:hAnsi="Times New Roman" w:cs="Times New Roman"/>
          <w:sz w:val="24"/>
          <w:szCs w:val="24"/>
          <w:lang w:val="en-GB"/>
        </w:rPr>
      </w:pPr>
      <w:r w:rsidRPr="002A44EF">
        <w:rPr>
          <w:rFonts w:ascii="Times New Roman" w:hAnsi="Times New Roman" w:cs="Times New Roman"/>
          <w:sz w:val="24"/>
          <w:szCs w:val="24"/>
          <w:lang w:val="en-GB"/>
        </w:rPr>
        <w:t>The</w:t>
      </w:r>
      <w:r w:rsidR="00FF2B4A" w:rsidRPr="002A44EF">
        <w:rPr>
          <w:rFonts w:ascii="Times New Roman" w:hAnsi="Times New Roman" w:cs="Times New Roman"/>
          <w:sz w:val="24"/>
          <w:szCs w:val="24"/>
          <w:lang w:val="en-GB"/>
        </w:rPr>
        <w:t xml:space="preserve"> </w:t>
      </w:r>
      <w:r w:rsidR="00DC522E" w:rsidRPr="002A44EF">
        <w:rPr>
          <w:rFonts w:ascii="Times New Roman" w:hAnsi="Times New Roman" w:cs="Times New Roman"/>
          <w:sz w:val="24"/>
          <w:szCs w:val="24"/>
          <w:lang w:val="en-GB"/>
        </w:rPr>
        <w:t xml:space="preserve">current government </w:t>
      </w:r>
      <w:r w:rsidR="008931E9" w:rsidRPr="002A44EF">
        <w:rPr>
          <w:rFonts w:ascii="Times New Roman" w:hAnsi="Times New Roman" w:cs="Times New Roman"/>
          <w:sz w:val="24"/>
          <w:szCs w:val="24"/>
          <w:lang w:val="en-GB"/>
        </w:rPr>
        <w:t xml:space="preserve">is pursuing an agenda </w:t>
      </w:r>
      <w:r w:rsidR="004706CE" w:rsidRPr="002A44EF">
        <w:rPr>
          <w:rFonts w:ascii="Times New Roman" w:hAnsi="Times New Roman" w:cs="Times New Roman"/>
          <w:sz w:val="24"/>
          <w:szCs w:val="24"/>
          <w:lang w:val="en-GB"/>
        </w:rPr>
        <w:t xml:space="preserve">to </w:t>
      </w:r>
      <w:r w:rsidR="009915B0" w:rsidRPr="002A44EF">
        <w:rPr>
          <w:rFonts w:ascii="Times New Roman" w:hAnsi="Times New Roman" w:cs="Times New Roman"/>
          <w:sz w:val="24"/>
          <w:szCs w:val="24"/>
          <w:lang w:val="en-GB"/>
        </w:rPr>
        <w:t>strengthen</w:t>
      </w:r>
      <w:r w:rsidR="007A453C" w:rsidRPr="002A44EF">
        <w:rPr>
          <w:rFonts w:ascii="Times New Roman" w:hAnsi="Times New Roman" w:cs="Times New Roman"/>
          <w:sz w:val="24"/>
          <w:szCs w:val="24"/>
          <w:lang w:val="en-GB"/>
        </w:rPr>
        <w:t xml:space="preserve"> the</w:t>
      </w:r>
      <w:r w:rsidR="00CE4AE2" w:rsidRPr="002A44EF">
        <w:rPr>
          <w:rFonts w:ascii="Times New Roman" w:hAnsi="Times New Roman" w:cs="Times New Roman"/>
          <w:sz w:val="24"/>
          <w:szCs w:val="24"/>
          <w:lang w:val="en-GB"/>
        </w:rPr>
        <w:t xml:space="preserve"> export sector’s</w:t>
      </w:r>
      <w:r w:rsidR="007A453C" w:rsidRPr="002A44EF">
        <w:rPr>
          <w:rFonts w:ascii="Times New Roman" w:hAnsi="Times New Roman" w:cs="Times New Roman"/>
          <w:sz w:val="24"/>
          <w:szCs w:val="24"/>
          <w:lang w:val="en-GB"/>
        </w:rPr>
        <w:t xml:space="preserve"> norm</w:t>
      </w:r>
      <w:r w:rsidR="00AE0D2D" w:rsidRPr="002A44EF">
        <w:rPr>
          <w:rFonts w:ascii="Times New Roman" w:hAnsi="Times New Roman" w:cs="Times New Roman"/>
          <w:sz w:val="24"/>
          <w:szCs w:val="24"/>
          <w:lang w:val="en-GB"/>
        </w:rPr>
        <w:t>-</w:t>
      </w:r>
      <w:r w:rsidR="007A453C" w:rsidRPr="002A44EF">
        <w:rPr>
          <w:rFonts w:ascii="Times New Roman" w:hAnsi="Times New Roman" w:cs="Times New Roman"/>
          <w:sz w:val="24"/>
          <w:szCs w:val="24"/>
          <w:lang w:val="en-GB"/>
        </w:rPr>
        <w:t>setting</w:t>
      </w:r>
      <w:r w:rsidR="00ED2B54" w:rsidRPr="002A44EF">
        <w:rPr>
          <w:rFonts w:ascii="Times New Roman" w:hAnsi="Times New Roman" w:cs="Times New Roman"/>
          <w:sz w:val="24"/>
          <w:szCs w:val="24"/>
          <w:lang w:val="en-GB"/>
        </w:rPr>
        <w:t xml:space="preserve">. </w:t>
      </w:r>
      <w:r w:rsidR="00AC5E0C" w:rsidRPr="002A44EF">
        <w:rPr>
          <w:rFonts w:ascii="Times New Roman" w:hAnsi="Times New Roman" w:cs="Times New Roman"/>
          <w:sz w:val="24"/>
          <w:szCs w:val="24"/>
          <w:lang w:val="en-GB"/>
        </w:rPr>
        <w:t>The hope i</w:t>
      </w:r>
      <w:r w:rsidR="00F33C39" w:rsidRPr="002A44EF">
        <w:rPr>
          <w:rFonts w:ascii="Times New Roman" w:hAnsi="Times New Roman" w:cs="Times New Roman"/>
          <w:sz w:val="24"/>
          <w:szCs w:val="24"/>
          <w:lang w:val="en-GB"/>
        </w:rPr>
        <w:t xml:space="preserve">s that this will be achieved through </w:t>
      </w:r>
      <w:r w:rsidR="005F2B87" w:rsidRPr="002A44EF">
        <w:rPr>
          <w:rFonts w:ascii="Times New Roman" w:hAnsi="Times New Roman" w:cs="Times New Roman"/>
          <w:sz w:val="24"/>
          <w:szCs w:val="24"/>
          <w:lang w:val="en-GB"/>
        </w:rPr>
        <w:t xml:space="preserve">negotiations between the parties in the labour market. In addition, the government </w:t>
      </w:r>
      <w:r w:rsidR="00006618" w:rsidRPr="002A44EF">
        <w:rPr>
          <w:rFonts w:ascii="Times New Roman" w:hAnsi="Times New Roman" w:cs="Times New Roman"/>
          <w:sz w:val="24"/>
          <w:szCs w:val="24"/>
          <w:lang w:val="en-GB"/>
        </w:rPr>
        <w:t xml:space="preserve">plans legislation according to which </w:t>
      </w:r>
      <w:r w:rsidR="00BD234C" w:rsidRPr="002A44EF">
        <w:rPr>
          <w:rFonts w:ascii="Times New Roman" w:hAnsi="Times New Roman" w:cs="Times New Roman"/>
          <w:sz w:val="24"/>
          <w:szCs w:val="24"/>
          <w:lang w:val="en-GB"/>
        </w:rPr>
        <w:t xml:space="preserve">mediation proposals </w:t>
      </w:r>
      <w:r w:rsidR="005361A9" w:rsidRPr="002A44EF">
        <w:rPr>
          <w:rFonts w:ascii="Times New Roman" w:hAnsi="Times New Roman" w:cs="Times New Roman"/>
          <w:sz w:val="24"/>
          <w:szCs w:val="24"/>
          <w:lang w:val="en-GB"/>
        </w:rPr>
        <w:t xml:space="preserve">from </w:t>
      </w:r>
      <w:r w:rsidR="002A7E5F" w:rsidRPr="002A44EF">
        <w:rPr>
          <w:rFonts w:ascii="Times New Roman" w:hAnsi="Times New Roman" w:cs="Times New Roman"/>
          <w:sz w:val="24"/>
          <w:szCs w:val="24"/>
          <w:lang w:val="en-GB"/>
        </w:rPr>
        <w:t>the National Conciliator’s Office</w:t>
      </w:r>
      <w:r w:rsidR="00FF0F25" w:rsidRPr="002A44EF">
        <w:rPr>
          <w:rFonts w:ascii="Times New Roman" w:hAnsi="Times New Roman" w:cs="Times New Roman"/>
          <w:sz w:val="24"/>
          <w:szCs w:val="24"/>
          <w:lang w:val="en-GB"/>
        </w:rPr>
        <w:t xml:space="preserve"> </w:t>
      </w:r>
      <w:r w:rsidR="00BD7CC0" w:rsidRPr="002A44EF">
        <w:rPr>
          <w:rFonts w:ascii="Times New Roman" w:hAnsi="Times New Roman" w:cs="Times New Roman"/>
          <w:sz w:val="24"/>
          <w:szCs w:val="24"/>
          <w:lang w:val="en-GB"/>
        </w:rPr>
        <w:t>(</w:t>
      </w:r>
      <w:r w:rsidR="005D3B07" w:rsidRPr="002A44EF">
        <w:rPr>
          <w:rFonts w:ascii="Times New Roman" w:hAnsi="Times New Roman" w:cs="Times New Roman"/>
          <w:i/>
          <w:iCs/>
          <w:sz w:val="24"/>
          <w:szCs w:val="24"/>
          <w:lang w:val="en-GB"/>
        </w:rPr>
        <w:t>Valtakunnansovittelijan toimisto</w:t>
      </w:r>
      <w:r w:rsidR="005B1198" w:rsidRPr="002A44EF">
        <w:rPr>
          <w:rFonts w:ascii="Times New Roman" w:hAnsi="Times New Roman" w:cs="Times New Roman"/>
          <w:sz w:val="24"/>
          <w:szCs w:val="24"/>
          <w:lang w:val="en-GB"/>
        </w:rPr>
        <w:t xml:space="preserve">) </w:t>
      </w:r>
      <w:r w:rsidR="002A7E5F" w:rsidRPr="002A44EF">
        <w:rPr>
          <w:rFonts w:ascii="Times New Roman" w:hAnsi="Times New Roman" w:cs="Times New Roman"/>
          <w:sz w:val="24"/>
          <w:szCs w:val="24"/>
          <w:lang w:val="en-GB"/>
        </w:rPr>
        <w:t xml:space="preserve">or a </w:t>
      </w:r>
      <w:r w:rsidR="00FF0F25" w:rsidRPr="002A44EF">
        <w:rPr>
          <w:rFonts w:ascii="Times New Roman" w:hAnsi="Times New Roman" w:cs="Times New Roman"/>
          <w:sz w:val="24"/>
          <w:szCs w:val="24"/>
          <w:lang w:val="en-GB"/>
        </w:rPr>
        <w:t>conciliation board</w:t>
      </w:r>
      <w:r w:rsidR="00F33C39" w:rsidRPr="002A44EF">
        <w:rPr>
          <w:rFonts w:ascii="Times New Roman" w:hAnsi="Times New Roman" w:cs="Times New Roman"/>
          <w:sz w:val="24"/>
          <w:szCs w:val="24"/>
          <w:lang w:val="en-GB"/>
        </w:rPr>
        <w:t xml:space="preserve"> </w:t>
      </w:r>
      <w:r w:rsidR="007C2EEE" w:rsidRPr="002A44EF">
        <w:rPr>
          <w:rFonts w:ascii="Times New Roman" w:hAnsi="Times New Roman" w:cs="Times New Roman"/>
          <w:sz w:val="24"/>
          <w:szCs w:val="24"/>
          <w:lang w:val="en-GB"/>
        </w:rPr>
        <w:t>cannot ex</w:t>
      </w:r>
      <w:r w:rsidR="00215B0D" w:rsidRPr="002A44EF">
        <w:rPr>
          <w:rFonts w:ascii="Times New Roman" w:hAnsi="Times New Roman" w:cs="Times New Roman"/>
          <w:sz w:val="24"/>
          <w:szCs w:val="24"/>
          <w:lang w:val="en-GB"/>
        </w:rPr>
        <w:t xml:space="preserve">ceed “the general level of </w:t>
      </w:r>
      <w:r w:rsidR="00422E3C" w:rsidRPr="002A44EF">
        <w:rPr>
          <w:rFonts w:ascii="Times New Roman" w:hAnsi="Times New Roman" w:cs="Times New Roman"/>
          <w:sz w:val="24"/>
          <w:szCs w:val="24"/>
          <w:lang w:val="en-GB"/>
        </w:rPr>
        <w:t xml:space="preserve">wage increase” </w:t>
      </w:r>
      <w:r w:rsidR="000C31BE" w:rsidRPr="002A44EF">
        <w:rPr>
          <w:rFonts w:ascii="Times New Roman" w:hAnsi="Times New Roman" w:cs="Times New Roman"/>
          <w:sz w:val="24"/>
          <w:szCs w:val="24"/>
          <w:lang w:val="en-GB"/>
        </w:rPr>
        <w:t>(Arbets- och näringsministeriet</w:t>
      </w:r>
      <w:r w:rsidR="00E53094" w:rsidRPr="002A44EF">
        <w:rPr>
          <w:rFonts w:ascii="Times New Roman" w:hAnsi="Times New Roman" w:cs="Times New Roman"/>
          <w:sz w:val="24"/>
          <w:szCs w:val="24"/>
          <w:lang w:val="en-GB"/>
        </w:rPr>
        <w:t>, 2024).</w:t>
      </w:r>
      <w:r w:rsidR="00ED2B54" w:rsidRPr="002A44EF">
        <w:rPr>
          <w:rFonts w:ascii="Times New Roman" w:hAnsi="Times New Roman" w:cs="Times New Roman"/>
          <w:sz w:val="24"/>
          <w:szCs w:val="24"/>
          <w:lang w:val="en-GB"/>
        </w:rPr>
        <w:t xml:space="preserve"> </w:t>
      </w:r>
    </w:p>
    <w:p w14:paraId="3914F1A4" w14:textId="191A9601" w:rsidR="006C5F24" w:rsidRDefault="006C5F24" w:rsidP="006C5F24">
      <w:pPr>
        <w:pStyle w:val="Heading2"/>
        <w:rPr>
          <w:lang w:val="en-GB"/>
        </w:rPr>
      </w:pPr>
      <w:r>
        <w:rPr>
          <w:lang w:val="en-GB"/>
        </w:rPr>
        <w:t>2.5 Summing-up</w:t>
      </w:r>
    </w:p>
    <w:p w14:paraId="1CD2DDB0" w14:textId="5665C4D5" w:rsidR="006C5F24" w:rsidRDefault="006C5F24" w:rsidP="006C5F2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Pattern bargaining at the industry level with manufacturing concluding </w:t>
      </w:r>
      <w:r w:rsidR="00D459D8">
        <w:rPr>
          <w:rFonts w:ascii="Times New Roman" w:hAnsi="Times New Roman" w:cs="Times New Roman"/>
          <w:sz w:val="24"/>
          <w:szCs w:val="24"/>
          <w:lang w:val="en-GB"/>
        </w:rPr>
        <w:t>its</w:t>
      </w:r>
      <w:r>
        <w:rPr>
          <w:rFonts w:ascii="Times New Roman" w:hAnsi="Times New Roman" w:cs="Times New Roman"/>
          <w:sz w:val="24"/>
          <w:szCs w:val="24"/>
          <w:lang w:val="en-GB"/>
        </w:rPr>
        <w:t xml:space="preserve"> agreements first and this way determining the norm</w:t>
      </w:r>
      <w:r w:rsidR="00CA65EA">
        <w:rPr>
          <w:rFonts w:ascii="Times New Roman" w:hAnsi="Times New Roman" w:cs="Times New Roman"/>
          <w:sz w:val="24"/>
          <w:szCs w:val="24"/>
          <w:lang w:val="en-GB"/>
        </w:rPr>
        <w:t xml:space="preserve"> for wage increases</w:t>
      </w:r>
      <w:r>
        <w:rPr>
          <w:rFonts w:ascii="Times New Roman" w:hAnsi="Times New Roman" w:cs="Times New Roman"/>
          <w:sz w:val="24"/>
          <w:szCs w:val="24"/>
          <w:lang w:val="en-GB"/>
        </w:rPr>
        <w:t xml:space="preserve">, </w:t>
      </w:r>
      <w:r w:rsidR="00CA6FC4">
        <w:rPr>
          <w:rFonts w:ascii="Times New Roman" w:hAnsi="Times New Roman" w:cs="Times New Roman"/>
          <w:sz w:val="24"/>
          <w:szCs w:val="24"/>
          <w:lang w:val="en-GB"/>
        </w:rPr>
        <w:t>is</w:t>
      </w:r>
      <w:r>
        <w:rPr>
          <w:rFonts w:ascii="Times New Roman" w:hAnsi="Times New Roman" w:cs="Times New Roman"/>
          <w:sz w:val="24"/>
          <w:szCs w:val="24"/>
          <w:lang w:val="en-GB"/>
        </w:rPr>
        <w:t xml:space="preserve"> firmly established in Denmark, Norway and Sweden since the end of the 1990s.</w:t>
      </w:r>
      <w:r w:rsidR="00EB33CE">
        <w:rPr>
          <w:rFonts w:ascii="Times New Roman" w:hAnsi="Times New Roman" w:cs="Times New Roman"/>
          <w:sz w:val="24"/>
          <w:szCs w:val="24"/>
          <w:lang w:val="en-GB"/>
        </w:rPr>
        <w:t xml:space="preserve"> </w:t>
      </w:r>
      <w:r w:rsidR="00C03D65">
        <w:rPr>
          <w:rFonts w:ascii="Times New Roman" w:hAnsi="Times New Roman" w:cs="Times New Roman"/>
          <w:sz w:val="24"/>
          <w:szCs w:val="24"/>
          <w:lang w:val="en-GB"/>
        </w:rPr>
        <w:t>Pattern bargaining</w:t>
      </w:r>
      <w:r>
        <w:rPr>
          <w:rFonts w:ascii="Times New Roman" w:hAnsi="Times New Roman" w:cs="Times New Roman"/>
          <w:sz w:val="24"/>
          <w:szCs w:val="24"/>
          <w:lang w:val="en-GB"/>
        </w:rPr>
        <w:t xml:space="preserve"> is less established in Finland, w</w:t>
      </w:r>
      <w:r w:rsidR="008D174A">
        <w:rPr>
          <w:rFonts w:ascii="Times New Roman" w:hAnsi="Times New Roman" w:cs="Times New Roman"/>
          <w:sz w:val="24"/>
          <w:szCs w:val="24"/>
          <w:lang w:val="en-GB"/>
        </w:rPr>
        <w:t>her</w:t>
      </w:r>
      <w:r>
        <w:rPr>
          <w:rFonts w:ascii="Times New Roman" w:hAnsi="Times New Roman" w:cs="Times New Roman"/>
          <w:sz w:val="24"/>
          <w:szCs w:val="24"/>
          <w:lang w:val="en-GB"/>
        </w:rPr>
        <w:t xml:space="preserve">e trade unions in the public sector </w:t>
      </w:r>
      <w:r w:rsidR="00D16A9F">
        <w:rPr>
          <w:rFonts w:ascii="Times New Roman" w:hAnsi="Times New Roman" w:cs="Times New Roman"/>
          <w:sz w:val="24"/>
          <w:szCs w:val="24"/>
          <w:lang w:val="en-GB"/>
        </w:rPr>
        <w:t>are</w:t>
      </w:r>
      <w:r>
        <w:rPr>
          <w:rFonts w:ascii="Times New Roman" w:hAnsi="Times New Roman" w:cs="Times New Roman"/>
          <w:sz w:val="24"/>
          <w:szCs w:val="24"/>
          <w:lang w:val="en-GB"/>
        </w:rPr>
        <w:t xml:space="preserve"> opposed to such </w:t>
      </w:r>
      <w:r w:rsidR="005F2522">
        <w:rPr>
          <w:rFonts w:ascii="Times New Roman" w:hAnsi="Times New Roman" w:cs="Times New Roman"/>
          <w:sz w:val="24"/>
          <w:szCs w:val="24"/>
          <w:lang w:val="en-GB"/>
        </w:rPr>
        <w:t>norm-setting</w:t>
      </w:r>
      <w:r>
        <w:rPr>
          <w:rFonts w:ascii="Times New Roman" w:hAnsi="Times New Roman" w:cs="Times New Roman"/>
          <w:sz w:val="24"/>
          <w:szCs w:val="24"/>
          <w:lang w:val="en-GB"/>
        </w:rPr>
        <w:t xml:space="preserve">. In all the countries, support </w:t>
      </w:r>
      <w:r>
        <w:rPr>
          <w:rFonts w:ascii="Times New Roman" w:hAnsi="Times New Roman" w:cs="Times New Roman"/>
          <w:sz w:val="24"/>
          <w:szCs w:val="24"/>
          <w:lang w:val="en-GB"/>
        </w:rPr>
        <w:lastRenderedPageBreak/>
        <w:t>from the national peak organisations, in particular on the employer side, is important for ad</w:t>
      </w:r>
      <w:r w:rsidR="008D174A">
        <w:rPr>
          <w:rFonts w:ascii="Times New Roman" w:hAnsi="Times New Roman" w:cs="Times New Roman"/>
          <w:sz w:val="24"/>
          <w:szCs w:val="24"/>
          <w:lang w:val="en-GB"/>
        </w:rPr>
        <w:t>her</w:t>
      </w:r>
      <w:r>
        <w:rPr>
          <w:rFonts w:ascii="Times New Roman" w:hAnsi="Times New Roman" w:cs="Times New Roman"/>
          <w:sz w:val="24"/>
          <w:szCs w:val="24"/>
          <w:lang w:val="en-GB"/>
        </w:rPr>
        <w:t>ence to the norm.</w:t>
      </w:r>
    </w:p>
    <w:p w14:paraId="74578CE3" w14:textId="58FEB9A1" w:rsidR="00667897" w:rsidRDefault="006C5F24" w:rsidP="006C5F2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role of government for pattern bargaining differs between the countries. In all of them, </w:t>
      </w:r>
      <w:r w:rsidR="000C44C7">
        <w:rPr>
          <w:rFonts w:ascii="Times New Roman" w:hAnsi="Times New Roman" w:cs="Times New Roman"/>
          <w:sz w:val="24"/>
          <w:szCs w:val="24"/>
          <w:lang w:val="en-GB"/>
        </w:rPr>
        <w:t>governments played some role</w:t>
      </w:r>
      <w:r>
        <w:rPr>
          <w:rFonts w:ascii="Times New Roman" w:hAnsi="Times New Roman" w:cs="Times New Roman"/>
          <w:sz w:val="24"/>
          <w:szCs w:val="24"/>
          <w:lang w:val="en-GB"/>
        </w:rPr>
        <w:t xml:space="preserve"> in initiating the systems eit</w:t>
      </w:r>
      <w:r w:rsidR="008D174A">
        <w:rPr>
          <w:rFonts w:ascii="Times New Roman" w:hAnsi="Times New Roman" w:cs="Times New Roman"/>
          <w:sz w:val="24"/>
          <w:szCs w:val="24"/>
          <w:lang w:val="en-GB"/>
        </w:rPr>
        <w:t>her</w:t>
      </w:r>
      <w:r>
        <w:rPr>
          <w:rFonts w:ascii="Times New Roman" w:hAnsi="Times New Roman" w:cs="Times New Roman"/>
          <w:sz w:val="24"/>
          <w:szCs w:val="24"/>
          <w:lang w:val="en-GB"/>
        </w:rPr>
        <w:t xml:space="preserve"> through threats of more government intervention (Sweden and more recently Finland) or through consensus building (Denmark and Norway). </w:t>
      </w:r>
    </w:p>
    <w:p w14:paraId="1822ED97" w14:textId="08EAB430" w:rsidR="000C44C7" w:rsidRDefault="006C5F24" w:rsidP="006C5F2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Sweden stands out</w:t>
      </w:r>
      <w:r w:rsidR="000C44C7">
        <w:rPr>
          <w:rFonts w:ascii="Times New Roman" w:hAnsi="Times New Roman" w:cs="Times New Roman"/>
          <w:sz w:val="24"/>
          <w:szCs w:val="24"/>
          <w:lang w:val="en-GB"/>
        </w:rPr>
        <w:t xml:space="preserve"> with a clear principle</w:t>
      </w:r>
      <w:r>
        <w:rPr>
          <w:rFonts w:ascii="Times New Roman" w:hAnsi="Times New Roman" w:cs="Times New Roman"/>
          <w:sz w:val="24"/>
          <w:szCs w:val="24"/>
          <w:lang w:val="en-GB"/>
        </w:rPr>
        <w:t xml:space="preserve"> </w:t>
      </w:r>
      <w:r w:rsidR="000C44C7">
        <w:rPr>
          <w:rFonts w:ascii="Times New Roman" w:hAnsi="Times New Roman" w:cs="Times New Roman"/>
          <w:sz w:val="24"/>
          <w:szCs w:val="24"/>
          <w:lang w:val="en-GB"/>
        </w:rPr>
        <w:t xml:space="preserve">that wage bargaining is </w:t>
      </w:r>
      <w:r w:rsidR="00AD0AD5">
        <w:rPr>
          <w:rFonts w:ascii="Times New Roman" w:hAnsi="Times New Roman" w:cs="Times New Roman"/>
          <w:sz w:val="24"/>
          <w:szCs w:val="24"/>
          <w:lang w:val="en-GB"/>
        </w:rPr>
        <w:t>solely the</w:t>
      </w:r>
      <w:r w:rsidR="000C44C7">
        <w:rPr>
          <w:rFonts w:ascii="Times New Roman" w:hAnsi="Times New Roman" w:cs="Times New Roman"/>
          <w:sz w:val="24"/>
          <w:szCs w:val="24"/>
          <w:lang w:val="en-GB"/>
        </w:rPr>
        <w:t xml:space="preserve"> responsibility of the labour market </w:t>
      </w:r>
      <w:r w:rsidR="00D7400F">
        <w:rPr>
          <w:rFonts w:ascii="Times New Roman" w:hAnsi="Times New Roman" w:cs="Times New Roman"/>
          <w:sz w:val="24"/>
          <w:szCs w:val="24"/>
          <w:lang w:val="en-GB"/>
        </w:rPr>
        <w:t xml:space="preserve">parties </w:t>
      </w:r>
      <w:r w:rsidR="000C44C7">
        <w:rPr>
          <w:rFonts w:ascii="Times New Roman" w:hAnsi="Times New Roman" w:cs="Times New Roman"/>
          <w:sz w:val="24"/>
          <w:szCs w:val="24"/>
          <w:lang w:val="en-GB"/>
        </w:rPr>
        <w:t>and that this rules out government involvement</w:t>
      </w:r>
      <w:r>
        <w:rPr>
          <w:rFonts w:ascii="Times New Roman" w:hAnsi="Times New Roman" w:cs="Times New Roman"/>
          <w:sz w:val="24"/>
          <w:szCs w:val="24"/>
          <w:lang w:val="en-GB"/>
        </w:rPr>
        <w:t>. The ot</w:t>
      </w:r>
      <w:r w:rsidR="008D174A">
        <w:rPr>
          <w:rFonts w:ascii="Times New Roman" w:hAnsi="Times New Roman" w:cs="Times New Roman"/>
          <w:sz w:val="24"/>
          <w:szCs w:val="24"/>
          <w:lang w:val="en-GB"/>
        </w:rPr>
        <w:t>her</w:t>
      </w:r>
      <w:r>
        <w:rPr>
          <w:rFonts w:ascii="Times New Roman" w:hAnsi="Times New Roman" w:cs="Times New Roman"/>
          <w:sz w:val="24"/>
          <w:szCs w:val="24"/>
          <w:lang w:val="en-GB"/>
        </w:rPr>
        <w:t xml:space="preserve"> extreme is Norway w</w:t>
      </w:r>
      <w:r w:rsidR="008D174A">
        <w:rPr>
          <w:rFonts w:ascii="Times New Roman" w:hAnsi="Times New Roman" w:cs="Times New Roman"/>
          <w:sz w:val="24"/>
          <w:szCs w:val="24"/>
          <w:lang w:val="en-GB"/>
        </w:rPr>
        <w:t>her</w:t>
      </w:r>
      <w:r>
        <w:rPr>
          <w:rFonts w:ascii="Times New Roman" w:hAnsi="Times New Roman" w:cs="Times New Roman"/>
          <w:sz w:val="24"/>
          <w:szCs w:val="24"/>
          <w:lang w:val="en-GB"/>
        </w:rPr>
        <w:t>e</w:t>
      </w:r>
      <w:r w:rsidR="000C44C7">
        <w:rPr>
          <w:rFonts w:ascii="Times New Roman" w:hAnsi="Times New Roman" w:cs="Times New Roman"/>
          <w:sz w:val="24"/>
          <w:szCs w:val="24"/>
          <w:lang w:val="en-GB"/>
        </w:rPr>
        <w:t xml:space="preserve"> cooperation in</w:t>
      </w:r>
      <w:r>
        <w:rPr>
          <w:rFonts w:ascii="Times New Roman" w:hAnsi="Times New Roman" w:cs="Times New Roman"/>
          <w:sz w:val="24"/>
          <w:szCs w:val="24"/>
          <w:lang w:val="en-GB"/>
        </w:rPr>
        <w:t xml:space="preserve"> </w:t>
      </w:r>
      <w:r w:rsidR="009F4A94">
        <w:rPr>
          <w:rFonts w:ascii="Times New Roman" w:hAnsi="Times New Roman" w:cs="Times New Roman"/>
          <w:sz w:val="24"/>
          <w:szCs w:val="24"/>
          <w:lang w:val="en-GB"/>
        </w:rPr>
        <w:t>tripartite institutions</w:t>
      </w:r>
      <w:r w:rsidR="004F20A6">
        <w:rPr>
          <w:rFonts w:ascii="Times New Roman" w:hAnsi="Times New Roman" w:cs="Times New Roman"/>
          <w:sz w:val="24"/>
          <w:szCs w:val="24"/>
          <w:lang w:val="en-GB"/>
        </w:rPr>
        <w:t>.</w:t>
      </w:r>
      <w:r w:rsidR="009F4A94">
        <w:rPr>
          <w:rFonts w:ascii="Times New Roman" w:hAnsi="Times New Roman" w:cs="Times New Roman"/>
          <w:sz w:val="24"/>
          <w:szCs w:val="24"/>
          <w:lang w:val="en-GB"/>
        </w:rPr>
        <w:t xml:space="preserve"> like the Contact Committee (</w:t>
      </w:r>
      <w:r w:rsidR="009F4A94">
        <w:rPr>
          <w:rFonts w:ascii="Times New Roman" w:hAnsi="Times New Roman" w:cs="Times New Roman"/>
          <w:i/>
          <w:iCs/>
          <w:sz w:val="24"/>
          <w:szCs w:val="24"/>
          <w:lang w:val="en-GB"/>
        </w:rPr>
        <w:t>Kontaktutvalget</w:t>
      </w:r>
      <w:r w:rsidR="009F4A94">
        <w:rPr>
          <w:rFonts w:ascii="Times New Roman" w:hAnsi="Times New Roman" w:cs="Times New Roman"/>
          <w:sz w:val="24"/>
          <w:szCs w:val="24"/>
          <w:lang w:val="en-GB"/>
        </w:rPr>
        <w:t>) and</w:t>
      </w:r>
      <w:r w:rsidR="000C44C7">
        <w:rPr>
          <w:rFonts w:ascii="Times New Roman" w:hAnsi="Times New Roman" w:cs="Times New Roman"/>
          <w:sz w:val="24"/>
          <w:szCs w:val="24"/>
          <w:lang w:val="en-GB"/>
        </w:rPr>
        <w:t xml:space="preserve"> the Technical Computation Committee (</w:t>
      </w:r>
      <w:r w:rsidR="000C44C7" w:rsidRPr="000C44C7">
        <w:rPr>
          <w:rFonts w:ascii="Times New Roman" w:hAnsi="Times New Roman" w:cs="Times New Roman"/>
          <w:i/>
          <w:iCs/>
          <w:sz w:val="24"/>
          <w:szCs w:val="24"/>
          <w:lang w:val="en-GB"/>
        </w:rPr>
        <w:t>TBU</w:t>
      </w:r>
      <w:r w:rsidR="004F20A6">
        <w:rPr>
          <w:rFonts w:ascii="Times New Roman" w:hAnsi="Times New Roman" w:cs="Times New Roman"/>
          <w:sz w:val="24"/>
          <w:szCs w:val="24"/>
          <w:lang w:val="en-GB"/>
        </w:rPr>
        <w:t>)</w:t>
      </w:r>
      <w:r w:rsidR="000C44C7">
        <w:rPr>
          <w:rFonts w:ascii="Times New Roman" w:hAnsi="Times New Roman" w:cs="Times New Roman"/>
          <w:sz w:val="24"/>
          <w:szCs w:val="24"/>
          <w:lang w:val="en-GB"/>
        </w:rPr>
        <w:t xml:space="preserve">, is aimed at building a common understanding of the </w:t>
      </w:r>
      <w:r w:rsidR="004F20A6">
        <w:rPr>
          <w:rFonts w:ascii="Times New Roman" w:hAnsi="Times New Roman" w:cs="Times New Roman"/>
          <w:sz w:val="24"/>
          <w:szCs w:val="24"/>
          <w:lang w:val="en-GB"/>
        </w:rPr>
        <w:t xml:space="preserve">economic </w:t>
      </w:r>
      <w:r w:rsidR="000C44C7">
        <w:rPr>
          <w:rFonts w:ascii="Times New Roman" w:hAnsi="Times New Roman" w:cs="Times New Roman"/>
          <w:sz w:val="24"/>
          <w:szCs w:val="24"/>
          <w:lang w:val="en-GB"/>
        </w:rPr>
        <w:t>situation before a wage round</w:t>
      </w:r>
      <w:r w:rsidR="00667897">
        <w:rPr>
          <w:rFonts w:ascii="Times New Roman" w:hAnsi="Times New Roman" w:cs="Times New Roman"/>
          <w:sz w:val="24"/>
          <w:szCs w:val="24"/>
          <w:lang w:val="en-GB"/>
        </w:rPr>
        <w:t xml:space="preserve"> (Holden IV-utvalget 2023)</w:t>
      </w:r>
      <w:r w:rsidR="000C44C7">
        <w:rPr>
          <w:rFonts w:ascii="Times New Roman" w:hAnsi="Times New Roman" w:cs="Times New Roman"/>
          <w:sz w:val="24"/>
          <w:szCs w:val="24"/>
          <w:lang w:val="en-GB"/>
        </w:rPr>
        <w:t>. Proposals on developing the system of pattern bargaining have also been formulated by government commissions, consisting of economic experts and representatives of the labour market organisations.</w:t>
      </w:r>
    </w:p>
    <w:p w14:paraId="4CD290FC" w14:textId="0EA16B61" w:rsidR="00667897" w:rsidRDefault="008B440B" w:rsidP="0066789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w:t>
      </w:r>
      <w:r w:rsidR="00667897">
        <w:rPr>
          <w:rFonts w:ascii="Times New Roman" w:hAnsi="Times New Roman" w:cs="Times New Roman"/>
          <w:sz w:val="24"/>
          <w:szCs w:val="24"/>
          <w:lang w:val="en-GB"/>
        </w:rPr>
        <w:t xml:space="preserve"> moves to pattern setting by the tradables sector </w:t>
      </w:r>
      <w:r w:rsidR="000A704F">
        <w:rPr>
          <w:rFonts w:ascii="Times New Roman" w:hAnsi="Times New Roman" w:cs="Times New Roman"/>
          <w:sz w:val="24"/>
          <w:szCs w:val="24"/>
          <w:lang w:val="en-GB"/>
        </w:rPr>
        <w:t xml:space="preserve">in the Nordics </w:t>
      </w:r>
      <w:r w:rsidR="00667897">
        <w:rPr>
          <w:rFonts w:ascii="Times New Roman" w:hAnsi="Times New Roman" w:cs="Times New Roman"/>
          <w:sz w:val="24"/>
          <w:szCs w:val="24"/>
          <w:lang w:val="en-GB"/>
        </w:rPr>
        <w:t>have coincided with an increasing role for local bargaining, on both the size of wage increases in individual workplaces and the distribution among employees. In Denmark and Norway, this</w:t>
      </w:r>
      <w:r w:rsidR="00C97FAB">
        <w:rPr>
          <w:rFonts w:ascii="Times New Roman" w:hAnsi="Times New Roman" w:cs="Times New Roman"/>
          <w:sz w:val="24"/>
          <w:szCs w:val="24"/>
          <w:lang w:val="en-GB"/>
        </w:rPr>
        <w:t xml:space="preserve"> so-called </w:t>
      </w:r>
      <w:r w:rsidR="00EF1CC9">
        <w:rPr>
          <w:rFonts w:ascii="Times New Roman" w:hAnsi="Times New Roman" w:cs="Times New Roman"/>
          <w:i/>
          <w:iCs/>
          <w:sz w:val="24"/>
          <w:szCs w:val="24"/>
          <w:lang w:val="en-GB"/>
        </w:rPr>
        <w:t>organised decentralisation</w:t>
      </w:r>
      <w:r w:rsidR="00667897">
        <w:rPr>
          <w:rFonts w:ascii="Times New Roman" w:hAnsi="Times New Roman" w:cs="Times New Roman"/>
          <w:sz w:val="24"/>
          <w:szCs w:val="24"/>
          <w:lang w:val="en-GB"/>
        </w:rPr>
        <w:t xml:space="preserve"> has gone the furthest in the private sector (w</w:t>
      </w:r>
      <w:r w:rsidR="008D174A">
        <w:rPr>
          <w:rFonts w:ascii="Times New Roman" w:hAnsi="Times New Roman" w:cs="Times New Roman"/>
          <w:sz w:val="24"/>
          <w:szCs w:val="24"/>
          <w:lang w:val="en-GB"/>
        </w:rPr>
        <w:t>her</w:t>
      </w:r>
      <w:r w:rsidR="00667897">
        <w:rPr>
          <w:rFonts w:ascii="Times New Roman" w:hAnsi="Times New Roman" w:cs="Times New Roman"/>
          <w:sz w:val="24"/>
          <w:szCs w:val="24"/>
          <w:lang w:val="en-GB"/>
        </w:rPr>
        <w:t xml:space="preserve">e the bulk of wage increases are determined </w:t>
      </w:r>
      <w:r w:rsidR="00585F53">
        <w:rPr>
          <w:rFonts w:ascii="Times New Roman" w:hAnsi="Times New Roman" w:cs="Times New Roman"/>
          <w:sz w:val="24"/>
          <w:szCs w:val="24"/>
          <w:lang w:val="en-GB"/>
        </w:rPr>
        <w:t>locally</w:t>
      </w:r>
      <w:r w:rsidR="00667897">
        <w:rPr>
          <w:rFonts w:ascii="Times New Roman" w:hAnsi="Times New Roman" w:cs="Times New Roman"/>
          <w:sz w:val="24"/>
          <w:szCs w:val="24"/>
          <w:lang w:val="en-GB"/>
        </w:rPr>
        <w:t>, especially for white-collar</w:t>
      </w:r>
      <w:r w:rsidR="00585F53">
        <w:rPr>
          <w:rFonts w:ascii="Times New Roman" w:hAnsi="Times New Roman" w:cs="Times New Roman"/>
          <w:sz w:val="24"/>
          <w:szCs w:val="24"/>
          <w:lang w:val="en-GB"/>
        </w:rPr>
        <w:t xml:space="preserve"> </w:t>
      </w:r>
      <w:r w:rsidR="003745F7">
        <w:rPr>
          <w:rFonts w:ascii="Times New Roman" w:hAnsi="Times New Roman" w:cs="Times New Roman"/>
          <w:sz w:val="24"/>
          <w:szCs w:val="24"/>
          <w:lang w:val="en-GB"/>
        </w:rPr>
        <w:t>employees</w:t>
      </w:r>
      <w:r w:rsidR="00667897">
        <w:rPr>
          <w:rFonts w:ascii="Times New Roman" w:hAnsi="Times New Roman" w:cs="Times New Roman"/>
          <w:sz w:val="24"/>
          <w:szCs w:val="24"/>
          <w:lang w:val="en-GB"/>
        </w:rPr>
        <w:t>). In Sweden, this development has been much more pervasive for public-sector white</w:t>
      </w:r>
      <w:r w:rsidR="003745F7">
        <w:rPr>
          <w:rFonts w:ascii="Times New Roman" w:hAnsi="Times New Roman" w:cs="Times New Roman"/>
          <w:sz w:val="24"/>
          <w:szCs w:val="24"/>
          <w:lang w:val="en-GB"/>
        </w:rPr>
        <w:t>-</w:t>
      </w:r>
      <w:r w:rsidR="00667897">
        <w:rPr>
          <w:rFonts w:ascii="Times New Roman" w:hAnsi="Times New Roman" w:cs="Times New Roman"/>
          <w:sz w:val="24"/>
          <w:szCs w:val="24"/>
          <w:lang w:val="en-GB"/>
        </w:rPr>
        <w:t xml:space="preserve">collar </w:t>
      </w:r>
      <w:r w:rsidR="000A6C29">
        <w:rPr>
          <w:rFonts w:ascii="Times New Roman" w:hAnsi="Times New Roman" w:cs="Times New Roman"/>
          <w:sz w:val="24"/>
          <w:szCs w:val="24"/>
          <w:lang w:val="en-GB"/>
        </w:rPr>
        <w:t>employees</w:t>
      </w:r>
      <w:r w:rsidR="00667897">
        <w:rPr>
          <w:rFonts w:ascii="Times New Roman" w:hAnsi="Times New Roman" w:cs="Times New Roman"/>
          <w:sz w:val="24"/>
          <w:szCs w:val="24"/>
          <w:lang w:val="en-GB"/>
        </w:rPr>
        <w:t xml:space="preserve"> than private</w:t>
      </w:r>
      <w:r w:rsidR="003745F7">
        <w:rPr>
          <w:rFonts w:ascii="Times New Roman" w:hAnsi="Times New Roman" w:cs="Times New Roman"/>
          <w:sz w:val="24"/>
          <w:szCs w:val="24"/>
          <w:lang w:val="en-GB"/>
        </w:rPr>
        <w:t>-</w:t>
      </w:r>
      <w:r w:rsidR="00667897">
        <w:rPr>
          <w:rFonts w:ascii="Times New Roman" w:hAnsi="Times New Roman" w:cs="Times New Roman"/>
          <w:sz w:val="24"/>
          <w:szCs w:val="24"/>
          <w:lang w:val="en-GB"/>
        </w:rPr>
        <w:t>sector</w:t>
      </w:r>
      <w:r w:rsidR="003745F7">
        <w:rPr>
          <w:rFonts w:ascii="Times New Roman" w:hAnsi="Times New Roman" w:cs="Times New Roman"/>
          <w:sz w:val="24"/>
          <w:szCs w:val="24"/>
          <w:lang w:val="en-GB"/>
        </w:rPr>
        <w:t xml:space="preserve"> ones</w:t>
      </w:r>
      <w:r w:rsidR="00667897">
        <w:rPr>
          <w:rFonts w:ascii="Times New Roman" w:hAnsi="Times New Roman" w:cs="Times New Roman"/>
          <w:sz w:val="24"/>
          <w:szCs w:val="24"/>
          <w:lang w:val="en-GB"/>
        </w:rPr>
        <w:t xml:space="preserve">. Finland has experimented with hardship clauses, allowing also lower wage increases than </w:t>
      </w:r>
      <w:r w:rsidR="000A6C29">
        <w:rPr>
          <w:rFonts w:ascii="Times New Roman" w:hAnsi="Times New Roman" w:cs="Times New Roman"/>
          <w:sz w:val="24"/>
          <w:szCs w:val="24"/>
          <w:lang w:val="en-GB"/>
        </w:rPr>
        <w:t>in</w:t>
      </w:r>
      <w:r w:rsidR="00667897">
        <w:rPr>
          <w:rFonts w:ascii="Times New Roman" w:hAnsi="Times New Roman" w:cs="Times New Roman"/>
          <w:sz w:val="24"/>
          <w:szCs w:val="24"/>
          <w:lang w:val="en-GB"/>
        </w:rPr>
        <w:t xml:space="preserve"> industry-level agreements in firms at distress, provided that the hig</w:t>
      </w:r>
      <w:r w:rsidR="008D174A">
        <w:rPr>
          <w:rFonts w:ascii="Times New Roman" w:hAnsi="Times New Roman" w:cs="Times New Roman"/>
          <w:sz w:val="24"/>
          <w:szCs w:val="24"/>
          <w:lang w:val="en-GB"/>
        </w:rPr>
        <w:t>her</w:t>
      </w:r>
      <w:r w:rsidR="00667897">
        <w:rPr>
          <w:rFonts w:ascii="Times New Roman" w:hAnsi="Times New Roman" w:cs="Times New Roman"/>
          <w:sz w:val="24"/>
          <w:szCs w:val="24"/>
          <w:lang w:val="en-GB"/>
        </w:rPr>
        <w:t>-level organisations give their approval (</w:t>
      </w:r>
      <w:r w:rsidR="00667897" w:rsidRPr="00667897">
        <w:rPr>
          <w:rFonts w:ascii="Times New Roman" w:hAnsi="Times New Roman" w:cs="Times New Roman"/>
          <w:sz w:val="24"/>
          <w:szCs w:val="24"/>
          <w:lang w:val="en-GB"/>
        </w:rPr>
        <w:t>M</w:t>
      </w:r>
      <w:r w:rsidR="00667897" w:rsidRPr="00667897">
        <w:rPr>
          <w:rStyle w:val="hgkelc"/>
          <w:rFonts w:ascii="Times New Roman" w:hAnsi="Times New Roman" w:cs="Times New Roman"/>
          <w:sz w:val="24"/>
          <w:szCs w:val="24"/>
          <w:lang w:val="en-GB"/>
        </w:rPr>
        <w:t>üller</w:t>
      </w:r>
      <w:r w:rsidR="007C7430">
        <w:rPr>
          <w:rStyle w:val="hgkelc"/>
          <w:rFonts w:ascii="Times New Roman" w:hAnsi="Times New Roman" w:cs="Times New Roman"/>
          <w:sz w:val="24"/>
          <w:szCs w:val="24"/>
          <w:lang w:val="en-GB"/>
        </w:rPr>
        <w:t>,</w:t>
      </w:r>
      <w:r w:rsidR="00667897">
        <w:rPr>
          <w:rFonts w:ascii="Times New Roman" w:hAnsi="Times New Roman" w:cs="Times New Roman"/>
          <w:sz w:val="24"/>
          <w:szCs w:val="24"/>
          <w:lang w:val="en-GB"/>
        </w:rPr>
        <w:t xml:space="preserve"> 2018; Jonker-Hoffrén, 2019).</w:t>
      </w:r>
    </w:p>
    <w:p w14:paraId="3B46D7D2" w14:textId="1FABB51D" w:rsidR="0067034D" w:rsidRDefault="002029E0" w:rsidP="002029E0">
      <w:pPr>
        <w:pStyle w:val="Heading1"/>
        <w:rPr>
          <w:lang w:val="en-GB"/>
        </w:rPr>
      </w:pPr>
      <w:r>
        <w:rPr>
          <w:lang w:val="en-GB"/>
        </w:rPr>
        <w:t>3 The Scandinavian model of wage formation</w:t>
      </w:r>
    </w:p>
    <w:p w14:paraId="52540588" w14:textId="61A12886" w:rsidR="00C1728E" w:rsidRDefault="001F3C7B" w:rsidP="00C1728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idea that the tradables sector should </w:t>
      </w:r>
      <w:r w:rsidR="00F13E66">
        <w:rPr>
          <w:rFonts w:ascii="Times New Roman" w:hAnsi="Times New Roman" w:cs="Times New Roman"/>
          <w:sz w:val="24"/>
          <w:szCs w:val="24"/>
          <w:lang w:val="en-GB"/>
        </w:rPr>
        <w:t xml:space="preserve">determine wage increases in the whole economy has been embodied in the </w:t>
      </w:r>
      <w:r w:rsidR="000F3069">
        <w:rPr>
          <w:rFonts w:ascii="Times New Roman" w:hAnsi="Times New Roman" w:cs="Times New Roman"/>
          <w:sz w:val="24"/>
          <w:szCs w:val="24"/>
          <w:lang w:val="en-GB"/>
        </w:rPr>
        <w:t>Scandinavian model of wage formation</w:t>
      </w:r>
      <w:r w:rsidR="00855300">
        <w:rPr>
          <w:rFonts w:ascii="Times New Roman" w:hAnsi="Times New Roman" w:cs="Times New Roman"/>
          <w:sz w:val="24"/>
          <w:szCs w:val="24"/>
          <w:lang w:val="en-GB"/>
        </w:rPr>
        <w:t xml:space="preserve">. </w:t>
      </w:r>
      <w:r w:rsidR="00B443B6">
        <w:rPr>
          <w:rFonts w:ascii="Times New Roman" w:hAnsi="Times New Roman" w:cs="Times New Roman"/>
          <w:sz w:val="24"/>
          <w:szCs w:val="24"/>
          <w:lang w:val="en-GB"/>
        </w:rPr>
        <w:t>It was first developed in Norway</w:t>
      </w:r>
      <w:r w:rsidR="0030629F">
        <w:rPr>
          <w:rFonts w:ascii="Times New Roman" w:hAnsi="Times New Roman" w:cs="Times New Roman"/>
          <w:sz w:val="24"/>
          <w:szCs w:val="24"/>
          <w:lang w:val="en-GB"/>
        </w:rPr>
        <w:t xml:space="preserve"> </w:t>
      </w:r>
      <w:r w:rsidR="00B27E2D">
        <w:rPr>
          <w:rFonts w:ascii="Times New Roman" w:hAnsi="Times New Roman" w:cs="Times New Roman"/>
          <w:sz w:val="24"/>
          <w:szCs w:val="24"/>
          <w:lang w:val="en-GB"/>
        </w:rPr>
        <w:t>w</w:t>
      </w:r>
      <w:r w:rsidR="008D174A">
        <w:rPr>
          <w:rFonts w:ascii="Times New Roman" w:hAnsi="Times New Roman" w:cs="Times New Roman"/>
          <w:sz w:val="24"/>
          <w:szCs w:val="24"/>
          <w:lang w:val="en-GB"/>
        </w:rPr>
        <w:t>her</w:t>
      </w:r>
      <w:r w:rsidR="00B27E2D">
        <w:rPr>
          <w:rFonts w:ascii="Times New Roman" w:hAnsi="Times New Roman" w:cs="Times New Roman"/>
          <w:sz w:val="24"/>
          <w:szCs w:val="24"/>
          <w:lang w:val="en-GB"/>
        </w:rPr>
        <w:t xml:space="preserve">e it grew out of work </w:t>
      </w:r>
      <w:r w:rsidR="00D029C1">
        <w:rPr>
          <w:rFonts w:ascii="Times New Roman" w:hAnsi="Times New Roman" w:cs="Times New Roman"/>
          <w:sz w:val="24"/>
          <w:szCs w:val="24"/>
          <w:lang w:val="en-GB"/>
        </w:rPr>
        <w:t xml:space="preserve">at </w:t>
      </w:r>
      <w:r w:rsidR="003A18E0">
        <w:rPr>
          <w:rFonts w:ascii="Times New Roman" w:hAnsi="Times New Roman" w:cs="Times New Roman"/>
          <w:sz w:val="24"/>
          <w:szCs w:val="24"/>
          <w:lang w:val="en-GB"/>
        </w:rPr>
        <w:t>Statistics Norway (</w:t>
      </w:r>
      <w:r w:rsidR="003A18E0">
        <w:rPr>
          <w:rFonts w:ascii="Times New Roman" w:hAnsi="Times New Roman" w:cs="Times New Roman"/>
          <w:i/>
          <w:iCs/>
          <w:sz w:val="24"/>
          <w:szCs w:val="24"/>
          <w:lang w:val="en-GB"/>
        </w:rPr>
        <w:t>Statistisk sentralbyrå)</w:t>
      </w:r>
      <w:r w:rsidR="00D029C1">
        <w:rPr>
          <w:rFonts w:ascii="Times New Roman" w:hAnsi="Times New Roman" w:cs="Times New Roman"/>
          <w:sz w:val="24"/>
          <w:szCs w:val="24"/>
          <w:lang w:val="en-GB"/>
        </w:rPr>
        <w:t xml:space="preserve"> </w:t>
      </w:r>
      <w:r w:rsidR="00835AFA">
        <w:rPr>
          <w:rFonts w:ascii="Times New Roman" w:hAnsi="Times New Roman" w:cs="Times New Roman"/>
          <w:sz w:val="24"/>
          <w:szCs w:val="24"/>
          <w:lang w:val="en-GB"/>
        </w:rPr>
        <w:t xml:space="preserve">in the early 1960s </w:t>
      </w:r>
      <w:r w:rsidR="00EE5446">
        <w:rPr>
          <w:rFonts w:ascii="Times New Roman" w:hAnsi="Times New Roman" w:cs="Times New Roman"/>
          <w:sz w:val="24"/>
          <w:szCs w:val="24"/>
          <w:lang w:val="en-GB"/>
        </w:rPr>
        <w:t>and was formulated in</w:t>
      </w:r>
      <w:r w:rsidR="00594355">
        <w:rPr>
          <w:rFonts w:ascii="Times New Roman" w:hAnsi="Times New Roman" w:cs="Times New Roman"/>
          <w:sz w:val="24"/>
          <w:szCs w:val="24"/>
          <w:lang w:val="en-GB"/>
        </w:rPr>
        <w:t xml:space="preserve"> </w:t>
      </w:r>
      <w:r w:rsidR="00F47B70">
        <w:rPr>
          <w:rFonts w:ascii="Times New Roman" w:hAnsi="Times New Roman" w:cs="Times New Roman"/>
          <w:sz w:val="24"/>
          <w:szCs w:val="24"/>
          <w:lang w:val="en-GB"/>
        </w:rPr>
        <w:t>two reports</w:t>
      </w:r>
      <w:r w:rsidR="003A6765">
        <w:rPr>
          <w:rFonts w:ascii="Times New Roman" w:hAnsi="Times New Roman" w:cs="Times New Roman"/>
          <w:sz w:val="24"/>
          <w:szCs w:val="24"/>
          <w:lang w:val="en-GB"/>
        </w:rPr>
        <w:t xml:space="preserve"> from a government commission</w:t>
      </w:r>
      <w:r w:rsidR="00F47B70">
        <w:rPr>
          <w:rFonts w:ascii="Times New Roman" w:hAnsi="Times New Roman" w:cs="Times New Roman"/>
          <w:sz w:val="24"/>
          <w:szCs w:val="24"/>
          <w:lang w:val="en-GB"/>
        </w:rPr>
        <w:t xml:space="preserve"> </w:t>
      </w:r>
      <w:r w:rsidR="004D3B6C">
        <w:rPr>
          <w:rFonts w:ascii="Times New Roman" w:hAnsi="Times New Roman" w:cs="Times New Roman"/>
          <w:sz w:val="24"/>
          <w:szCs w:val="24"/>
          <w:lang w:val="en-GB"/>
        </w:rPr>
        <w:t>providing</w:t>
      </w:r>
      <w:r w:rsidR="002F7883">
        <w:rPr>
          <w:rFonts w:ascii="Times New Roman" w:hAnsi="Times New Roman" w:cs="Times New Roman"/>
          <w:sz w:val="24"/>
          <w:szCs w:val="24"/>
          <w:lang w:val="en-GB"/>
        </w:rPr>
        <w:t xml:space="preserve"> </w:t>
      </w:r>
      <w:r w:rsidR="007B4D8D">
        <w:rPr>
          <w:rFonts w:ascii="Times New Roman" w:hAnsi="Times New Roman" w:cs="Times New Roman"/>
          <w:sz w:val="24"/>
          <w:szCs w:val="24"/>
          <w:lang w:val="en-GB"/>
        </w:rPr>
        <w:t>the</w:t>
      </w:r>
      <w:r w:rsidR="002F7883">
        <w:rPr>
          <w:rFonts w:ascii="Times New Roman" w:hAnsi="Times New Roman" w:cs="Times New Roman"/>
          <w:sz w:val="24"/>
          <w:szCs w:val="24"/>
          <w:lang w:val="en-GB"/>
        </w:rPr>
        <w:t xml:space="preserve"> basis for incomes policy settlements </w:t>
      </w:r>
      <w:r w:rsidR="003F66D7">
        <w:rPr>
          <w:rFonts w:ascii="Times New Roman" w:hAnsi="Times New Roman" w:cs="Times New Roman"/>
          <w:sz w:val="24"/>
          <w:szCs w:val="24"/>
          <w:lang w:val="en-GB"/>
        </w:rPr>
        <w:t>(</w:t>
      </w:r>
      <w:r w:rsidR="0016732B">
        <w:rPr>
          <w:rFonts w:ascii="Times New Roman" w:hAnsi="Times New Roman" w:cs="Times New Roman"/>
          <w:sz w:val="24"/>
          <w:szCs w:val="24"/>
          <w:lang w:val="en-GB"/>
        </w:rPr>
        <w:t>Utredningsutvalget</w:t>
      </w:r>
      <w:r w:rsidR="001E69E1">
        <w:rPr>
          <w:rFonts w:ascii="Times New Roman" w:hAnsi="Times New Roman" w:cs="Times New Roman"/>
          <w:sz w:val="24"/>
          <w:szCs w:val="24"/>
          <w:lang w:val="en-GB"/>
        </w:rPr>
        <w:t xml:space="preserve"> for inntektsoppgj</w:t>
      </w:r>
      <w:r w:rsidR="001E69E1" w:rsidRPr="001E69E1">
        <w:rPr>
          <w:rFonts w:ascii="Times New Roman" w:hAnsi="Times New Roman" w:cs="Times New Roman"/>
          <w:sz w:val="24"/>
          <w:szCs w:val="24"/>
          <w:lang w:val="en-GB"/>
        </w:rPr>
        <w:t>ø</w:t>
      </w:r>
      <w:r w:rsidR="00C52165">
        <w:rPr>
          <w:rFonts w:ascii="Times New Roman" w:hAnsi="Times New Roman" w:cs="Times New Roman"/>
          <w:sz w:val="24"/>
          <w:szCs w:val="24"/>
          <w:lang w:val="en-GB"/>
        </w:rPr>
        <w:t>rene</w:t>
      </w:r>
      <w:r w:rsidR="00810472">
        <w:rPr>
          <w:rFonts w:ascii="Times New Roman" w:hAnsi="Times New Roman" w:cs="Times New Roman"/>
          <w:sz w:val="24"/>
          <w:szCs w:val="24"/>
          <w:lang w:val="en-GB"/>
        </w:rPr>
        <w:t>,</w:t>
      </w:r>
      <w:r w:rsidR="00C52165">
        <w:rPr>
          <w:rFonts w:ascii="Times New Roman" w:hAnsi="Times New Roman" w:cs="Times New Roman"/>
          <w:sz w:val="24"/>
          <w:szCs w:val="24"/>
          <w:lang w:val="en-GB"/>
        </w:rPr>
        <w:t xml:space="preserve"> 1966</w:t>
      </w:r>
      <w:r w:rsidR="00244A5C">
        <w:rPr>
          <w:rFonts w:ascii="Times New Roman" w:hAnsi="Times New Roman" w:cs="Times New Roman"/>
          <w:sz w:val="24"/>
          <w:szCs w:val="24"/>
          <w:lang w:val="en-GB"/>
        </w:rPr>
        <w:t>,</w:t>
      </w:r>
      <w:r w:rsidR="00E73FF1">
        <w:rPr>
          <w:rFonts w:ascii="Times New Roman" w:hAnsi="Times New Roman" w:cs="Times New Roman"/>
          <w:sz w:val="24"/>
          <w:szCs w:val="24"/>
          <w:lang w:val="en-GB"/>
        </w:rPr>
        <w:t xml:space="preserve"> 196</w:t>
      </w:r>
      <w:r w:rsidR="00B175AE">
        <w:rPr>
          <w:rFonts w:ascii="Times New Roman" w:hAnsi="Times New Roman" w:cs="Times New Roman"/>
          <w:sz w:val="24"/>
          <w:szCs w:val="24"/>
          <w:lang w:val="en-GB"/>
        </w:rPr>
        <w:t>7</w:t>
      </w:r>
      <w:r w:rsidR="00244A5C">
        <w:rPr>
          <w:rFonts w:ascii="Times New Roman" w:hAnsi="Times New Roman" w:cs="Times New Roman"/>
          <w:sz w:val="24"/>
          <w:szCs w:val="24"/>
          <w:lang w:val="en-GB"/>
        </w:rPr>
        <w:t>).</w:t>
      </w:r>
      <w:r w:rsidR="00397424">
        <w:rPr>
          <w:rFonts w:ascii="Times New Roman" w:hAnsi="Times New Roman" w:cs="Times New Roman"/>
          <w:sz w:val="24"/>
          <w:szCs w:val="24"/>
          <w:lang w:val="en-GB"/>
        </w:rPr>
        <w:t xml:space="preserve"> </w:t>
      </w:r>
      <w:r w:rsidR="00D878B6">
        <w:rPr>
          <w:rFonts w:ascii="Times New Roman" w:hAnsi="Times New Roman" w:cs="Times New Roman"/>
          <w:sz w:val="24"/>
          <w:szCs w:val="24"/>
          <w:lang w:val="en-GB"/>
        </w:rPr>
        <w:t>S</w:t>
      </w:r>
      <w:r w:rsidR="007C7430">
        <w:rPr>
          <w:rFonts w:ascii="Times New Roman" w:hAnsi="Times New Roman" w:cs="Times New Roman"/>
          <w:sz w:val="24"/>
          <w:szCs w:val="24"/>
          <w:lang w:val="en-GB"/>
        </w:rPr>
        <w:t>lightly later,</w:t>
      </w:r>
      <w:r w:rsidR="00397424">
        <w:rPr>
          <w:rFonts w:ascii="Times New Roman" w:hAnsi="Times New Roman" w:cs="Times New Roman"/>
          <w:sz w:val="24"/>
          <w:szCs w:val="24"/>
          <w:lang w:val="en-GB"/>
        </w:rPr>
        <w:t xml:space="preserve"> </w:t>
      </w:r>
      <w:r w:rsidR="00397424">
        <w:rPr>
          <w:rFonts w:ascii="Times New Roman" w:hAnsi="Times New Roman" w:cs="Times New Roman"/>
          <w:sz w:val="24"/>
          <w:szCs w:val="24"/>
          <w:lang w:val="en-GB"/>
        </w:rPr>
        <w:lastRenderedPageBreak/>
        <w:t>simil</w:t>
      </w:r>
      <w:r w:rsidR="00BD0837">
        <w:rPr>
          <w:rFonts w:ascii="Times New Roman" w:hAnsi="Times New Roman" w:cs="Times New Roman"/>
          <w:sz w:val="24"/>
          <w:szCs w:val="24"/>
          <w:lang w:val="en-GB"/>
        </w:rPr>
        <w:t xml:space="preserve">ar ideas were formulated </w:t>
      </w:r>
      <w:r w:rsidR="000C42E7">
        <w:rPr>
          <w:rFonts w:ascii="Times New Roman" w:hAnsi="Times New Roman" w:cs="Times New Roman"/>
          <w:sz w:val="24"/>
          <w:szCs w:val="24"/>
          <w:lang w:val="en-GB"/>
        </w:rPr>
        <w:t>by the</w:t>
      </w:r>
      <w:r w:rsidR="00341F4F">
        <w:rPr>
          <w:rFonts w:ascii="Times New Roman" w:hAnsi="Times New Roman" w:cs="Times New Roman"/>
          <w:sz w:val="24"/>
          <w:szCs w:val="24"/>
          <w:lang w:val="en-GB"/>
        </w:rPr>
        <w:t xml:space="preserve"> chief economists in the </w:t>
      </w:r>
      <w:r w:rsidR="006609F9">
        <w:rPr>
          <w:rFonts w:ascii="Times New Roman" w:hAnsi="Times New Roman" w:cs="Times New Roman"/>
          <w:sz w:val="24"/>
          <w:szCs w:val="24"/>
          <w:lang w:val="en-GB"/>
        </w:rPr>
        <w:t>peak labour market organisations in Sweden (Edgren</w:t>
      </w:r>
      <w:r w:rsidR="00F812EF">
        <w:rPr>
          <w:rFonts w:ascii="Times New Roman" w:hAnsi="Times New Roman" w:cs="Times New Roman"/>
          <w:sz w:val="24"/>
          <w:szCs w:val="24"/>
          <w:lang w:val="en-GB"/>
        </w:rPr>
        <w:t xml:space="preserve"> </w:t>
      </w:r>
      <w:r w:rsidR="009174DA">
        <w:rPr>
          <w:rFonts w:ascii="Times New Roman" w:hAnsi="Times New Roman" w:cs="Times New Roman"/>
          <w:sz w:val="24"/>
          <w:szCs w:val="24"/>
          <w:lang w:val="en-GB"/>
        </w:rPr>
        <w:t>et al.</w:t>
      </w:r>
      <w:r w:rsidR="007C7430">
        <w:rPr>
          <w:rFonts w:ascii="Times New Roman" w:hAnsi="Times New Roman" w:cs="Times New Roman"/>
          <w:sz w:val="24"/>
          <w:szCs w:val="24"/>
          <w:lang w:val="en-GB"/>
        </w:rPr>
        <w:t>,</w:t>
      </w:r>
      <w:r w:rsidR="009174DA">
        <w:rPr>
          <w:rFonts w:ascii="Times New Roman" w:hAnsi="Times New Roman" w:cs="Times New Roman"/>
          <w:sz w:val="24"/>
          <w:szCs w:val="24"/>
          <w:lang w:val="en-GB"/>
        </w:rPr>
        <w:t xml:space="preserve"> 197</w:t>
      </w:r>
      <w:r w:rsidR="001A523E">
        <w:rPr>
          <w:rFonts w:ascii="Times New Roman" w:hAnsi="Times New Roman" w:cs="Times New Roman"/>
          <w:sz w:val="24"/>
          <w:szCs w:val="24"/>
          <w:lang w:val="en-GB"/>
        </w:rPr>
        <w:t>3</w:t>
      </w:r>
      <w:r w:rsidR="007C7430">
        <w:rPr>
          <w:rFonts w:ascii="Times New Roman" w:hAnsi="Times New Roman" w:cs="Times New Roman"/>
          <w:sz w:val="24"/>
          <w:szCs w:val="24"/>
          <w:lang w:val="en-GB"/>
        </w:rPr>
        <w:t>).</w:t>
      </w:r>
      <w:r w:rsidR="00BE02B8">
        <w:rPr>
          <w:rStyle w:val="FootnoteReference"/>
          <w:rFonts w:ascii="Times New Roman" w:hAnsi="Times New Roman" w:cs="Times New Roman"/>
          <w:sz w:val="24"/>
          <w:szCs w:val="24"/>
          <w:lang w:val="en-GB"/>
        </w:rPr>
        <w:footnoteReference w:id="11"/>
      </w:r>
      <w:r w:rsidR="006774CE">
        <w:rPr>
          <w:rFonts w:ascii="Times New Roman" w:hAnsi="Times New Roman" w:cs="Times New Roman"/>
          <w:sz w:val="24"/>
          <w:szCs w:val="24"/>
          <w:lang w:val="en-GB"/>
        </w:rPr>
        <w:t xml:space="preserve"> </w:t>
      </w:r>
      <w:r w:rsidR="0063710E">
        <w:rPr>
          <w:rFonts w:ascii="Times New Roman" w:hAnsi="Times New Roman" w:cs="Times New Roman"/>
          <w:sz w:val="24"/>
          <w:szCs w:val="24"/>
          <w:lang w:val="en-GB"/>
        </w:rPr>
        <w:t xml:space="preserve">The </w:t>
      </w:r>
      <w:r w:rsidR="008C6925">
        <w:rPr>
          <w:rFonts w:ascii="Times New Roman" w:hAnsi="Times New Roman" w:cs="Times New Roman"/>
          <w:sz w:val="24"/>
          <w:szCs w:val="24"/>
          <w:lang w:val="en-GB"/>
        </w:rPr>
        <w:t xml:space="preserve">model </w:t>
      </w:r>
      <w:r w:rsidR="00BC2C5F">
        <w:rPr>
          <w:rFonts w:ascii="Times New Roman" w:hAnsi="Times New Roman" w:cs="Times New Roman"/>
          <w:sz w:val="24"/>
          <w:szCs w:val="24"/>
          <w:lang w:val="en-GB"/>
        </w:rPr>
        <w:t xml:space="preserve">has both a </w:t>
      </w:r>
      <w:r w:rsidR="00B25ECA">
        <w:rPr>
          <w:rFonts w:ascii="Times New Roman" w:hAnsi="Times New Roman" w:cs="Times New Roman"/>
          <w:sz w:val="24"/>
          <w:szCs w:val="24"/>
          <w:lang w:val="en-GB"/>
        </w:rPr>
        <w:t>positive and a normative sid</w:t>
      </w:r>
      <w:r w:rsidR="00F9220D">
        <w:rPr>
          <w:rFonts w:ascii="Times New Roman" w:hAnsi="Times New Roman" w:cs="Times New Roman"/>
          <w:sz w:val="24"/>
          <w:szCs w:val="24"/>
          <w:lang w:val="en-GB"/>
        </w:rPr>
        <w:t>e.</w:t>
      </w:r>
    </w:p>
    <w:p w14:paraId="3C6E5AD5" w14:textId="3C6DD248" w:rsidR="00C1728E" w:rsidRDefault="00383A31" w:rsidP="00C1728E">
      <w:pPr>
        <w:pStyle w:val="Heading2"/>
        <w:rPr>
          <w:rFonts w:ascii="Times New Roman" w:hAnsi="Times New Roman" w:cs="Times New Roman"/>
          <w:sz w:val="24"/>
          <w:szCs w:val="24"/>
          <w:lang w:val="en-GB"/>
        </w:rPr>
      </w:pPr>
      <w:r>
        <w:rPr>
          <w:lang w:val="en-GB"/>
        </w:rPr>
        <w:t xml:space="preserve">3.1 The positive </w:t>
      </w:r>
      <w:r w:rsidR="00D87E9D">
        <w:rPr>
          <w:lang w:val="en-GB"/>
        </w:rPr>
        <w:t>interpretation</w:t>
      </w:r>
    </w:p>
    <w:p w14:paraId="323D241C" w14:textId="3BC850D9" w:rsidR="007D6AB7" w:rsidRDefault="00E73CDB" w:rsidP="0087210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original thinking behind the Scandinavian model </w:t>
      </w:r>
      <w:r w:rsidR="00EF1CC9">
        <w:rPr>
          <w:rFonts w:ascii="Times New Roman" w:hAnsi="Times New Roman" w:cs="Times New Roman"/>
          <w:sz w:val="24"/>
          <w:szCs w:val="24"/>
          <w:lang w:val="en-GB"/>
        </w:rPr>
        <w:t>is</w:t>
      </w:r>
      <w:r w:rsidR="00B103BE">
        <w:rPr>
          <w:rFonts w:ascii="Times New Roman" w:hAnsi="Times New Roman" w:cs="Times New Roman"/>
          <w:sz w:val="24"/>
          <w:szCs w:val="24"/>
          <w:lang w:val="en-GB"/>
        </w:rPr>
        <w:t xml:space="preserve"> laid out in </w:t>
      </w:r>
      <w:r w:rsidR="00AF3376">
        <w:rPr>
          <w:rFonts w:ascii="Times New Roman" w:hAnsi="Times New Roman" w:cs="Times New Roman"/>
          <w:sz w:val="24"/>
          <w:szCs w:val="24"/>
          <w:lang w:val="en-GB"/>
        </w:rPr>
        <w:t>Aukrust (1977</w:t>
      </w:r>
      <w:r w:rsidR="009D6641">
        <w:rPr>
          <w:rFonts w:ascii="Times New Roman" w:hAnsi="Times New Roman" w:cs="Times New Roman"/>
          <w:sz w:val="24"/>
          <w:szCs w:val="24"/>
          <w:lang w:val="en-GB"/>
        </w:rPr>
        <w:t>).</w:t>
      </w:r>
      <w:r w:rsidR="00C84BFC">
        <w:rPr>
          <w:rStyle w:val="FootnoteReference"/>
          <w:rFonts w:ascii="Times New Roman" w:hAnsi="Times New Roman" w:cs="Times New Roman"/>
          <w:sz w:val="24"/>
          <w:szCs w:val="24"/>
          <w:lang w:val="en-GB"/>
        </w:rPr>
        <w:footnoteReference w:id="12"/>
      </w:r>
      <w:r w:rsidR="00872101">
        <w:rPr>
          <w:rFonts w:ascii="Times New Roman" w:hAnsi="Times New Roman" w:cs="Times New Roman"/>
          <w:sz w:val="24"/>
          <w:szCs w:val="24"/>
          <w:lang w:val="en-GB"/>
        </w:rPr>
        <w:t xml:space="preserve"> The starting point were three stylised facts: </w:t>
      </w:r>
      <w:r w:rsidR="006F70D1">
        <w:rPr>
          <w:rFonts w:ascii="Times New Roman" w:hAnsi="Times New Roman" w:cs="Times New Roman"/>
          <w:sz w:val="24"/>
          <w:szCs w:val="24"/>
          <w:lang w:val="en-GB"/>
        </w:rPr>
        <w:t xml:space="preserve">that </w:t>
      </w:r>
      <w:r w:rsidR="00872101">
        <w:rPr>
          <w:rFonts w:ascii="Times New Roman" w:hAnsi="Times New Roman" w:cs="Times New Roman"/>
          <w:sz w:val="24"/>
          <w:szCs w:val="24"/>
          <w:lang w:val="en-GB"/>
        </w:rPr>
        <w:t>(</w:t>
      </w:r>
      <w:r w:rsidR="00C1728E">
        <w:rPr>
          <w:rFonts w:ascii="Times New Roman" w:hAnsi="Times New Roman" w:cs="Times New Roman"/>
          <w:sz w:val="24"/>
          <w:szCs w:val="24"/>
          <w:lang w:val="en-GB"/>
        </w:rPr>
        <w:t>i) the profit share in the</w:t>
      </w:r>
      <w:r w:rsidR="00340D55">
        <w:rPr>
          <w:rFonts w:ascii="Times New Roman" w:hAnsi="Times New Roman" w:cs="Times New Roman"/>
          <w:sz w:val="24"/>
          <w:szCs w:val="24"/>
          <w:lang w:val="en-GB"/>
        </w:rPr>
        <w:t xml:space="preserve"> </w:t>
      </w:r>
      <w:r w:rsidR="00C1728E">
        <w:rPr>
          <w:rFonts w:ascii="Times New Roman" w:hAnsi="Times New Roman" w:cs="Times New Roman"/>
          <w:sz w:val="24"/>
          <w:szCs w:val="24"/>
          <w:lang w:val="en-GB"/>
        </w:rPr>
        <w:t>tradables sector fluctuated strongly around a stable mean; (ii) the profit share in the</w:t>
      </w:r>
      <w:r w:rsidR="00340D55">
        <w:rPr>
          <w:rFonts w:ascii="Times New Roman" w:hAnsi="Times New Roman" w:cs="Times New Roman"/>
          <w:sz w:val="24"/>
          <w:szCs w:val="24"/>
          <w:lang w:val="en-GB"/>
        </w:rPr>
        <w:t xml:space="preserve"> </w:t>
      </w:r>
      <w:r w:rsidR="008B3895">
        <w:rPr>
          <w:rFonts w:ascii="Times New Roman" w:hAnsi="Times New Roman" w:cs="Times New Roman"/>
          <w:sz w:val="24"/>
          <w:szCs w:val="24"/>
          <w:lang w:val="en-GB"/>
        </w:rPr>
        <w:t>nontradables</w:t>
      </w:r>
      <w:r w:rsidR="00C1728E">
        <w:rPr>
          <w:rFonts w:ascii="Times New Roman" w:hAnsi="Times New Roman" w:cs="Times New Roman"/>
          <w:sz w:val="24"/>
          <w:szCs w:val="24"/>
          <w:lang w:val="en-GB"/>
        </w:rPr>
        <w:t xml:space="preserve"> sector </w:t>
      </w:r>
      <w:r w:rsidR="00892198">
        <w:rPr>
          <w:rFonts w:ascii="Times New Roman" w:hAnsi="Times New Roman" w:cs="Times New Roman"/>
          <w:sz w:val="24"/>
          <w:szCs w:val="24"/>
          <w:lang w:val="en-GB"/>
        </w:rPr>
        <w:t>varied</w:t>
      </w:r>
      <w:r w:rsidR="00C1728E">
        <w:rPr>
          <w:rFonts w:ascii="Times New Roman" w:hAnsi="Times New Roman" w:cs="Times New Roman"/>
          <w:sz w:val="24"/>
          <w:szCs w:val="24"/>
          <w:lang w:val="en-GB"/>
        </w:rPr>
        <w:t xml:space="preserve"> much </w:t>
      </w:r>
      <w:r w:rsidR="00892198">
        <w:rPr>
          <w:rFonts w:ascii="Times New Roman" w:hAnsi="Times New Roman" w:cs="Times New Roman"/>
          <w:sz w:val="24"/>
          <w:szCs w:val="24"/>
          <w:lang w:val="en-GB"/>
        </w:rPr>
        <w:t>less</w:t>
      </w:r>
      <w:r w:rsidR="00C1728E">
        <w:rPr>
          <w:rFonts w:ascii="Times New Roman" w:hAnsi="Times New Roman" w:cs="Times New Roman"/>
          <w:sz w:val="24"/>
          <w:szCs w:val="24"/>
          <w:lang w:val="en-GB"/>
        </w:rPr>
        <w:t xml:space="preserve"> (around a decreasing trend – taken to </w:t>
      </w:r>
      <w:r w:rsidR="00670C52">
        <w:rPr>
          <w:rFonts w:ascii="Times New Roman" w:hAnsi="Times New Roman" w:cs="Times New Roman"/>
          <w:sz w:val="24"/>
          <w:szCs w:val="24"/>
          <w:lang w:val="en-GB"/>
        </w:rPr>
        <w:t>depend on</w:t>
      </w:r>
      <w:r w:rsidR="00C1728E">
        <w:rPr>
          <w:rFonts w:ascii="Times New Roman" w:hAnsi="Times New Roman" w:cs="Times New Roman"/>
          <w:sz w:val="24"/>
          <w:szCs w:val="24"/>
          <w:lang w:val="en-GB"/>
        </w:rPr>
        <w:t xml:space="preserve"> falling self-employment); and (iii) parallel developments of wages in the two sectors. </w:t>
      </w:r>
      <w:r w:rsidR="00670C52">
        <w:rPr>
          <w:rFonts w:ascii="Times New Roman" w:hAnsi="Times New Roman" w:cs="Times New Roman"/>
          <w:sz w:val="24"/>
          <w:szCs w:val="24"/>
          <w:lang w:val="en-GB"/>
        </w:rPr>
        <w:t>Several</w:t>
      </w:r>
      <w:r w:rsidR="007D6AB7">
        <w:rPr>
          <w:rFonts w:ascii="Times New Roman" w:hAnsi="Times New Roman" w:cs="Times New Roman"/>
          <w:sz w:val="24"/>
          <w:szCs w:val="24"/>
          <w:lang w:val="en-GB"/>
        </w:rPr>
        <w:t xml:space="preserve"> conclusions were drawn</w:t>
      </w:r>
      <w:r w:rsidR="00670C52">
        <w:rPr>
          <w:rFonts w:ascii="Times New Roman" w:hAnsi="Times New Roman" w:cs="Times New Roman"/>
          <w:sz w:val="24"/>
          <w:szCs w:val="24"/>
          <w:lang w:val="en-GB"/>
        </w:rPr>
        <w:t xml:space="preserve"> from this:</w:t>
      </w:r>
    </w:p>
    <w:p w14:paraId="7391527F" w14:textId="5CA0336E" w:rsidR="00DA565E" w:rsidRDefault="007D6AB7" w:rsidP="00872101">
      <w:pPr>
        <w:spacing w:line="360" w:lineRule="auto"/>
        <w:jc w:val="both"/>
        <w:rPr>
          <w:rFonts w:ascii="Times New Roman" w:hAnsi="Times New Roman" w:cs="Times New Roman"/>
          <w:sz w:val="24"/>
          <w:szCs w:val="24"/>
          <w:lang w:val="en-GB"/>
        </w:rPr>
      </w:pPr>
      <w:r w:rsidRPr="00B145C1">
        <w:rPr>
          <w:rFonts w:ascii="Times New Roman" w:hAnsi="Times New Roman" w:cs="Times New Roman"/>
          <w:i/>
          <w:iCs/>
          <w:sz w:val="24"/>
          <w:szCs w:val="24"/>
          <w:lang w:val="en-GB"/>
        </w:rPr>
        <w:t>First</w:t>
      </w:r>
      <w:r>
        <w:rPr>
          <w:rFonts w:ascii="Times New Roman" w:hAnsi="Times New Roman" w:cs="Times New Roman"/>
          <w:sz w:val="24"/>
          <w:szCs w:val="24"/>
          <w:lang w:val="en-GB"/>
        </w:rPr>
        <w:t>, t</w:t>
      </w:r>
      <w:r w:rsidR="008D174A">
        <w:rPr>
          <w:rFonts w:ascii="Times New Roman" w:hAnsi="Times New Roman" w:cs="Times New Roman"/>
          <w:sz w:val="24"/>
          <w:szCs w:val="24"/>
          <w:lang w:val="en-GB"/>
        </w:rPr>
        <w:t>her</w:t>
      </w:r>
      <w:r>
        <w:rPr>
          <w:rFonts w:ascii="Times New Roman" w:hAnsi="Times New Roman" w:cs="Times New Roman"/>
          <w:sz w:val="24"/>
          <w:szCs w:val="24"/>
          <w:lang w:val="en-GB"/>
        </w:rPr>
        <w:t>e exists a main course (</w:t>
      </w:r>
      <w:r>
        <w:rPr>
          <w:rFonts w:ascii="Times New Roman" w:hAnsi="Times New Roman" w:cs="Times New Roman"/>
          <w:i/>
          <w:iCs/>
          <w:sz w:val="24"/>
          <w:szCs w:val="24"/>
          <w:lang w:val="en-GB"/>
        </w:rPr>
        <w:t>hovedkurs</w:t>
      </w:r>
      <w:r>
        <w:rPr>
          <w:rFonts w:ascii="Times New Roman" w:hAnsi="Times New Roman" w:cs="Times New Roman"/>
          <w:sz w:val="24"/>
          <w:szCs w:val="24"/>
          <w:lang w:val="en-GB"/>
        </w:rPr>
        <w:t xml:space="preserve">) for wage increases in the tradables sector defined by the </w:t>
      </w:r>
      <w:r w:rsidRPr="007D6AB7">
        <w:rPr>
          <w:rFonts w:ascii="Times New Roman" w:hAnsi="Times New Roman" w:cs="Times New Roman"/>
          <w:i/>
          <w:iCs/>
          <w:sz w:val="24"/>
          <w:szCs w:val="24"/>
          <w:lang w:val="en-GB"/>
        </w:rPr>
        <w:t>scope</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for them</w:t>
      </w:r>
      <w:r w:rsidR="00A85B33">
        <w:rPr>
          <w:rFonts w:ascii="Times New Roman" w:hAnsi="Times New Roman" w:cs="Times New Roman"/>
          <w:sz w:val="24"/>
          <w:szCs w:val="24"/>
          <w:lang w:val="en-GB"/>
        </w:rPr>
        <w:t>,</w:t>
      </w:r>
      <w:r>
        <w:rPr>
          <w:rFonts w:ascii="Times New Roman" w:hAnsi="Times New Roman" w:cs="Times New Roman"/>
          <w:sz w:val="24"/>
          <w:szCs w:val="24"/>
          <w:lang w:val="en-GB"/>
        </w:rPr>
        <w:t xml:space="preserve"> given by the sum of price increases (</w:t>
      </w:r>
      <w:r w:rsidR="00890999">
        <w:rPr>
          <w:rFonts w:ascii="Times New Roman" w:hAnsi="Times New Roman" w:cs="Times New Roman"/>
          <w:sz w:val="24"/>
          <w:szCs w:val="24"/>
          <w:lang w:val="en-GB"/>
        </w:rPr>
        <w:t xml:space="preserve">taken to be </w:t>
      </w:r>
      <w:r>
        <w:rPr>
          <w:rFonts w:ascii="Times New Roman" w:hAnsi="Times New Roman" w:cs="Times New Roman"/>
          <w:sz w:val="24"/>
          <w:szCs w:val="24"/>
          <w:lang w:val="en-GB"/>
        </w:rPr>
        <w:t xml:space="preserve">determined in the world market and thus exogenous to a small economy like </w:t>
      </w:r>
      <w:r w:rsidR="00D66DDF">
        <w:rPr>
          <w:rFonts w:ascii="Times New Roman" w:hAnsi="Times New Roman" w:cs="Times New Roman"/>
          <w:sz w:val="24"/>
          <w:szCs w:val="24"/>
          <w:lang w:val="en-GB"/>
        </w:rPr>
        <w:t>Norway at the time</w:t>
      </w:r>
      <w:r>
        <w:rPr>
          <w:rFonts w:ascii="Times New Roman" w:hAnsi="Times New Roman" w:cs="Times New Roman"/>
          <w:sz w:val="24"/>
          <w:szCs w:val="24"/>
          <w:lang w:val="en-GB"/>
        </w:rPr>
        <w:t xml:space="preserve"> with a fixed exchange rate) and productivity increases</w:t>
      </w:r>
      <w:r w:rsidR="00FC55AD">
        <w:rPr>
          <w:rFonts w:ascii="Times New Roman" w:hAnsi="Times New Roman" w:cs="Times New Roman"/>
          <w:sz w:val="24"/>
          <w:szCs w:val="24"/>
          <w:lang w:val="en-GB"/>
        </w:rPr>
        <w:t xml:space="preserve">, </w:t>
      </w:r>
      <w:r w:rsidR="00844223">
        <w:rPr>
          <w:rFonts w:ascii="Times New Roman" w:hAnsi="Times New Roman" w:cs="Times New Roman"/>
          <w:sz w:val="24"/>
          <w:szCs w:val="24"/>
          <w:lang w:val="en-GB"/>
        </w:rPr>
        <w:t xml:space="preserve">resulting in a </w:t>
      </w:r>
      <w:r w:rsidR="00D66DDF">
        <w:rPr>
          <w:rFonts w:ascii="Times New Roman" w:hAnsi="Times New Roman" w:cs="Times New Roman"/>
          <w:sz w:val="24"/>
          <w:szCs w:val="24"/>
          <w:lang w:val="en-GB"/>
        </w:rPr>
        <w:t>constant</w:t>
      </w:r>
      <w:r w:rsidR="00844223">
        <w:rPr>
          <w:rFonts w:ascii="Times New Roman" w:hAnsi="Times New Roman" w:cs="Times New Roman"/>
          <w:sz w:val="24"/>
          <w:szCs w:val="24"/>
          <w:lang w:val="en-GB"/>
        </w:rPr>
        <w:t xml:space="preserve"> </w:t>
      </w:r>
      <w:r w:rsidR="003E66DC">
        <w:rPr>
          <w:rFonts w:ascii="Times New Roman" w:hAnsi="Times New Roman" w:cs="Times New Roman"/>
          <w:sz w:val="24"/>
          <w:szCs w:val="24"/>
          <w:lang w:val="en-GB"/>
        </w:rPr>
        <w:t>wage, and thus also profit</w:t>
      </w:r>
      <w:r w:rsidR="00D66DDF">
        <w:rPr>
          <w:rFonts w:ascii="Times New Roman" w:hAnsi="Times New Roman" w:cs="Times New Roman"/>
          <w:sz w:val="24"/>
          <w:szCs w:val="24"/>
          <w:lang w:val="en-GB"/>
        </w:rPr>
        <w:t>,</w:t>
      </w:r>
      <w:r w:rsidR="003E66DC">
        <w:rPr>
          <w:rFonts w:ascii="Times New Roman" w:hAnsi="Times New Roman" w:cs="Times New Roman"/>
          <w:sz w:val="24"/>
          <w:szCs w:val="24"/>
          <w:lang w:val="en-GB"/>
        </w:rPr>
        <w:t xml:space="preserve"> share</w:t>
      </w:r>
      <w:r w:rsidR="00B60D8E">
        <w:rPr>
          <w:rFonts w:ascii="Times New Roman" w:hAnsi="Times New Roman" w:cs="Times New Roman"/>
          <w:sz w:val="24"/>
          <w:szCs w:val="24"/>
          <w:lang w:val="en-GB"/>
        </w:rPr>
        <w:t xml:space="preserve"> </w:t>
      </w:r>
      <w:r w:rsidR="003E66DC">
        <w:rPr>
          <w:rFonts w:ascii="Times New Roman" w:hAnsi="Times New Roman" w:cs="Times New Roman"/>
          <w:sz w:val="24"/>
          <w:szCs w:val="24"/>
          <w:lang w:val="en-GB"/>
        </w:rPr>
        <w:t>in the long term.</w:t>
      </w:r>
      <w:r>
        <w:rPr>
          <w:rFonts w:ascii="Times New Roman" w:hAnsi="Times New Roman" w:cs="Times New Roman"/>
          <w:sz w:val="24"/>
          <w:szCs w:val="24"/>
          <w:lang w:val="en-GB"/>
        </w:rPr>
        <w:t xml:space="preserve"> Wage</w:t>
      </w:r>
      <w:r w:rsidR="00E83D3B">
        <w:rPr>
          <w:rFonts w:ascii="Times New Roman" w:hAnsi="Times New Roman" w:cs="Times New Roman"/>
          <w:sz w:val="24"/>
          <w:szCs w:val="24"/>
          <w:lang w:val="en-GB"/>
        </w:rPr>
        <w:t>s</w:t>
      </w:r>
      <w:r>
        <w:rPr>
          <w:rFonts w:ascii="Times New Roman" w:hAnsi="Times New Roman" w:cs="Times New Roman"/>
          <w:sz w:val="24"/>
          <w:szCs w:val="24"/>
          <w:lang w:val="en-GB"/>
        </w:rPr>
        <w:t xml:space="preserve"> can deviate from the main course in the short and medium term but this </w:t>
      </w:r>
      <w:r w:rsidR="00E83D3B">
        <w:rPr>
          <w:rFonts w:ascii="Times New Roman" w:hAnsi="Times New Roman" w:cs="Times New Roman"/>
          <w:sz w:val="24"/>
          <w:szCs w:val="24"/>
          <w:lang w:val="en-GB"/>
        </w:rPr>
        <w:t>triggers</w:t>
      </w:r>
      <w:r>
        <w:rPr>
          <w:rFonts w:ascii="Times New Roman" w:hAnsi="Times New Roman" w:cs="Times New Roman"/>
          <w:sz w:val="24"/>
          <w:szCs w:val="24"/>
          <w:lang w:val="en-GB"/>
        </w:rPr>
        <w:t xml:space="preserve"> mechanisms</w:t>
      </w:r>
      <w:r w:rsidR="00E83D3B">
        <w:rPr>
          <w:rFonts w:ascii="Times New Roman" w:hAnsi="Times New Roman" w:cs="Times New Roman"/>
          <w:sz w:val="24"/>
          <w:szCs w:val="24"/>
          <w:lang w:val="en-GB"/>
        </w:rPr>
        <w:t xml:space="preserve"> that bring them back again.</w:t>
      </w:r>
      <w:r w:rsidR="00DA565E">
        <w:rPr>
          <w:rFonts w:ascii="Times New Roman" w:hAnsi="Times New Roman" w:cs="Times New Roman"/>
          <w:sz w:val="24"/>
          <w:szCs w:val="24"/>
          <w:lang w:val="en-GB"/>
        </w:rPr>
        <w:t xml:space="preserve"> Aukrust (1977) lists three such mechanisms: variations in the prof</w:t>
      </w:r>
      <w:r w:rsidR="008A608A">
        <w:rPr>
          <w:rFonts w:ascii="Times New Roman" w:hAnsi="Times New Roman" w:cs="Times New Roman"/>
          <w:sz w:val="24"/>
          <w:szCs w:val="24"/>
          <w:lang w:val="en-GB"/>
        </w:rPr>
        <w:t>it</w:t>
      </w:r>
      <w:r w:rsidR="00DA565E">
        <w:rPr>
          <w:rFonts w:ascii="Times New Roman" w:hAnsi="Times New Roman" w:cs="Times New Roman"/>
          <w:sz w:val="24"/>
          <w:szCs w:val="24"/>
          <w:lang w:val="en-GB"/>
        </w:rPr>
        <w:t xml:space="preserve"> share (i) affect both union wage demands and employer resistance in collective bargaining; (ii) </w:t>
      </w:r>
      <w:r w:rsidR="008A608A">
        <w:rPr>
          <w:rFonts w:ascii="Times New Roman" w:hAnsi="Times New Roman" w:cs="Times New Roman"/>
          <w:sz w:val="24"/>
          <w:szCs w:val="24"/>
          <w:lang w:val="en-GB"/>
        </w:rPr>
        <w:t>give rise to</w:t>
      </w:r>
      <w:r w:rsidR="00DA565E">
        <w:rPr>
          <w:rFonts w:ascii="Times New Roman" w:hAnsi="Times New Roman" w:cs="Times New Roman"/>
          <w:sz w:val="24"/>
          <w:szCs w:val="24"/>
          <w:lang w:val="en-GB"/>
        </w:rPr>
        <w:t xml:space="preserve"> variations in labour demand </w:t>
      </w:r>
      <w:r w:rsidR="000F208E">
        <w:rPr>
          <w:rFonts w:ascii="Times New Roman" w:hAnsi="Times New Roman" w:cs="Times New Roman"/>
          <w:sz w:val="24"/>
          <w:szCs w:val="24"/>
          <w:lang w:val="en-GB"/>
        </w:rPr>
        <w:t>that</w:t>
      </w:r>
      <w:r w:rsidR="00DA565E">
        <w:rPr>
          <w:rFonts w:ascii="Times New Roman" w:hAnsi="Times New Roman" w:cs="Times New Roman"/>
          <w:sz w:val="24"/>
          <w:szCs w:val="24"/>
          <w:lang w:val="en-GB"/>
        </w:rPr>
        <w:t xml:space="preserve"> influence wage drift; and (iii) are associated with changes in the trade balance which may trigger changes in government demand management policy.</w:t>
      </w:r>
    </w:p>
    <w:p w14:paraId="6FB723ED" w14:textId="789879F1" w:rsidR="00B145C1" w:rsidRDefault="00DA565E" w:rsidP="00872101">
      <w:pPr>
        <w:spacing w:line="360" w:lineRule="auto"/>
        <w:jc w:val="both"/>
        <w:rPr>
          <w:rFonts w:ascii="Times New Roman" w:hAnsi="Times New Roman" w:cs="Times New Roman"/>
          <w:sz w:val="24"/>
          <w:szCs w:val="24"/>
          <w:lang w:val="en-GB"/>
        </w:rPr>
      </w:pPr>
      <w:r w:rsidRPr="00B145C1">
        <w:rPr>
          <w:rFonts w:ascii="Times New Roman" w:hAnsi="Times New Roman" w:cs="Times New Roman"/>
          <w:i/>
          <w:iCs/>
          <w:sz w:val="24"/>
          <w:szCs w:val="24"/>
          <w:lang w:val="en-GB"/>
        </w:rPr>
        <w:t>Second</w:t>
      </w:r>
      <w:r>
        <w:rPr>
          <w:rFonts w:ascii="Times New Roman" w:hAnsi="Times New Roman" w:cs="Times New Roman"/>
          <w:sz w:val="24"/>
          <w:szCs w:val="24"/>
          <w:lang w:val="en-GB"/>
        </w:rPr>
        <w:t xml:space="preserve">, </w:t>
      </w:r>
      <w:r w:rsidR="00B145C1">
        <w:rPr>
          <w:rFonts w:ascii="Times New Roman" w:hAnsi="Times New Roman" w:cs="Times New Roman"/>
          <w:sz w:val="24"/>
          <w:szCs w:val="24"/>
          <w:lang w:val="en-GB"/>
        </w:rPr>
        <w:t xml:space="preserve">changes in unit labour costs can be shifted on to prices in the </w:t>
      </w:r>
      <w:r w:rsidR="008B3895">
        <w:rPr>
          <w:rFonts w:ascii="Times New Roman" w:hAnsi="Times New Roman" w:cs="Times New Roman"/>
          <w:sz w:val="24"/>
          <w:szCs w:val="24"/>
          <w:lang w:val="en-GB"/>
        </w:rPr>
        <w:t>nontradables</w:t>
      </w:r>
      <w:r w:rsidR="00B145C1">
        <w:rPr>
          <w:rFonts w:ascii="Times New Roman" w:hAnsi="Times New Roman" w:cs="Times New Roman"/>
          <w:sz w:val="24"/>
          <w:szCs w:val="24"/>
          <w:lang w:val="en-GB"/>
        </w:rPr>
        <w:t xml:space="preserve"> sector, implying that the profit share is more or less constant</w:t>
      </w:r>
      <w:r w:rsidR="00B60D8E">
        <w:rPr>
          <w:rFonts w:ascii="Times New Roman" w:hAnsi="Times New Roman" w:cs="Times New Roman"/>
          <w:sz w:val="24"/>
          <w:szCs w:val="24"/>
          <w:lang w:val="en-GB"/>
        </w:rPr>
        <w:t xml:space="preserve"> there</w:t>
      </w:r>
      <w:r w:rsidR="00B145C1">
        <w:rPr>
          <w:rFonts w:ascii="Times New Roman" w:hAnsi="Times New Roman" w:cs="Times New Roman"/>
          <w:sz w:val="24"/>
          <w:szCs w:val="24"/>
          <w:lang w:val="en-GB"/>
        </w:rPr>
        <w:t xml:space="preserve">. </w:t>
      </w:r>
      <w:r w:rsidR="00B145C1" w:rsidRPr="00B145C1">
        <w:rPr>
          <w:rFonts w:ascii="Times New Roman" w:hAnsi="Times New Roman" w:cs="Times New Roman"/>
          <w:i/>
          <w:iCs/>
          <w:sz w:val="24"/>
          <w:szCs w:val="24"/>
          <w:lang w:val="en-GB"/>
        </w:rPr>
        <w:t>Third</w:t>
      </w:r>
      <w:r w:rsidR="00B145C1">
        <w:rPr>
          <w:rFonts w:ascii="Times New Roman" w:hAnsi="Times New Roman" w:cs="Times New Roman"/>
          <w:sz w:val="24"/>
          <w:szCs w:val="24"/>
          <w:lang w:val="en-GB"/>
        </w:rPr>
        <w:t xml:space="preserve">, wage developments in the </w:t>
      </w:r>
      <w:r w:rsidR="008B3895">
        <w:rPr>
          <w:rFonts w:ascii="Times New Roman" w:hAnsi="Times New Roman" w:cs="Times New Roman"/>
          <w:sz w:val="24"/>
          <w:szCs w:val="24"/>
          <w:lang w:val="en-GB"/>
        </w:rPr>
        <w:t>nontradables</w:t>
      </w:r>
      <w:r w:rsidR="00B145C1">
        <w:rPr>
          <w:rFonts w:ascii="Times New Roman" w:hAnsi="Times New Roman" w:cs="Times New Roman"/>
          <w:sz w:val="24"/>
          <w:szCs w:val="24"/>
          <w:lang w:val="en-GB"/>
        </w:rPr>
        <w:t xml:space="preserve"> sector follow those in the tradables sector because the two sectors compete for labour and unions look at each ot</w:t>
      </w:r>
      <w:r w:rsidR="008D174A">
        <w:rPr>
          <w:rFonts w:ascii="Times New Roman" w:hAnsi="Times New Roman" w:cs="Times New Roman"/>
          <w:sz w:val="24"/>
          <w:szCs w:val="24"/>
          <w:lang w:val="en-GB"/>
        </w:rPr>
        <w:t>her</w:t>
      </w:r>
      <w:r w:rsidR="00B145C1">
        <w:rPr>
          <w:rFonts w:ascii="Times New Roman" w:hAnsi="Times New Roman" w:cs="Times New Roman"/>
          <w:sz w:val="24"/>
          <w:szCs w:val="24"/>
          <w:lang w:val="en-GB"/>
        </w:rPr>
        <w:t>’s wage gains.</w:t>
      </w:r>
    </w:p>
    <w:p w14:paraId="68C9C9B4" w14:textId="2F717541" w:rsidR="00CC3F08" w:rsidRDefault="00B145C1" w:rsidP="0087210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Early research on the Scandinavian model, such as Calmfors (1977,</w:t>
      </w:r>
      <w:r w:rsidR="00BA0D5A">
        <w:rPr>
          <w:rFonts w:ascii="Times New Roman" w:hAnsi="Times New Roman" w:cs="Times New Roman"/>
          <w:sz w:val="24"/>
          <w:szCs w:val="24"/>
          <w:lang w:val="en-GB"/>
        </w:rPr>
        <w:t xml:space="preserve"> </w:t>
      </w:r>
      <w:r>
        <w:rPr>
          <w:rFonts w:ascii="Times New Roman" w:hAnsi="Times New Roman" w:cs="Times New Roman"/>
          <w:sz w:val="24"/>
          <w:szCs w:val="24"/>
          <w:lang w:val="en-GB"/>
        </w:rPr>
        <w:t>1979)</w:t>
      </w:r>
      <w:r w:rsidR="00C4682F">
        <w:rPr>
          <w:rFonts w:ascii="Times New Roman" w:hAnsi="Times New Roman" w:cs="Times New Roman"/>
          <w:sz w:val="24"/>
          <w:szCs w:val="24"/>
          <w:lang w:val="en-GB"/>
        </w:rPr>
        <w:t xml:space="preserve"> tried to</w:t>
      </w:r>
      <w:r>
        <w:rPr>
          <w:rFonts w:ascii="Times New Roman" w:hAnsi="Times New Roman" w:cs="Times New Roman"/>
          <w:sz w:val="24"/>
          <w:szCs w:val="24"/>
          <w:lang w:val="en-GB"/>
        </w:rPr>
        <w:t xml:space="preserve"> integra</w:t>
      </w:r>
      <w:r w:rsidR="00C4682F">
        <w:rPr>
          <w:rFonts w:ascii="Times New Roman" w:hAnsi="Times New Roman" w:cs="Times New Roman"/>
          <w:sz w:val="24"/>
          <w:szCs w:val="24"/>
          <w:lang w:val="en-GB"/>
        </w:rPr>
        <w:t>te</w:t>
      </w:r>
      <w:r>
        <w:rPr>
          <w:rFonts w:ascii="Times New Roman" w:hAnsi="Times New Roman" w:cs="Times New Roman"/>
          <w:sz w:val="24"/>
          <w:szCs w:val="24"/>
          <w:lang w:val="en-GB"/>
        </w:rPr>
        <w:t xml:space="preserve"> it with Phillips curve analysis by assuming that wage increases in the tradables sector depend on labour market slack (unemployment) and expected price increases for tradables – not price increases in general.</w:t>
      </w:r>
      <w:r w:rsidR="00ED0D88">
        <w:rPr>
          <w:rFonts w:ascii="Times New Roman" w:hAnsi="Times New Roman" w:cs="Times New Roman"/>
          <w:sz w:val="24"/>
          <w:szCs w:val="24"/>
          <w:lang w:val="en-GB"/>
        </w:rPr>
        <w:t xml:space="preserve"> </w:t>
      </w:r>
    </w:p>
    <w:p w14:paraId="5E9E6B0D" w14:textId="3AF5FF56" w:rsidR="00AC6883" w:rsidRDefault="00ED0D88" w:rsidP="0087210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more satisfactory </w:t>
      </w:r>
      <w:r w:rsidR="00D26DB9">
        <w:rPr>
          <w:rFonts w:ascii="Times New Roman" w:hAnsi="Times New Roman" w:cs="Times New Roman"/>
          <w:sz w:val="24"/>
          <w:szCs w:val="24"/>
          <w:lang w:val="en-GB"/>
        </w:rPr>
        <w:t xml:space="preserve">way of </w:t>
      </w:r>
      <w:r w:rsidR="001B4D1D">
        <w:rPr>
          <w:rFonts w:ascii="Times New Roman" w:hAnsi="Times New Roman" w:cs="Times New Roman"/>
          <w:sz w:val="24"/>
          <w:szCs w:val="24"/>
          <w:lang w:val="en-GB"/>
        </w:rPr>
        <w:t xml:space="preserve">modelling Aukrust’s </w:t>
      </w:r>
      <w:r w:rsidR="00F867A7">
        <w:rPr>
          <w:rFonts w:ascii="Times New Roman" w:hAnsi="Times New Roman" w:cs="Times New Roman"/>
          <w:sz w:val="24"/>
          <w:szCs w:val="24"/>
          <w:lang w:val="en-GB"/>
        </w:rPr>
        <w:t>original thinking</w:t>
      </w:r>
      <w:r w:rsidR="00DA736D">
        <w:rPr>
          <w:rFonts w:ascii="Times New Roman" w:hAnsi="Times New Roman" w:cs="Times New Roman"/>
          <w:sz w:val="24"/>
          <w:szCs w:val="24"/>
          <w:lang w:val="en-GB"/>
        </w:rPr>
        <w:t xml:space="preserve"> </w:t>
      </w:r>
      <w:r w:rsidR="008D59C4">
        <w:rPr>
          <w:rFonts w:ascii="Times New Roman" w:hAnsi="Times New Roman" w:cs="Times New Roman"/>
          <w:sz w:val="24"/>
          <w:szCs w:val="24"/>
          <w:lang w:val="en-GB"/>
        </w:rPr>
        <w:t xml:space="preserve">arose with the development of </w:t>
      </w:r>
      <w:r w:rsidR="00EB0D02">
        <w:rPr>
          <w:rFonts w:ascii="Times New Roman" w:hAnsi="Times New Roman" w:cs="Times New Roman"/>
          <w:sz w:val="24"/>
          <w:szCs w:val="24"/>
          <w:lang w:val="en-GB"/>
        </w:rPr>
        <w:t>cointegration theory in econometrics. T</w:t>
      </w:r>
      <w:r w:rsidR="00625FB5">
        <w:rPr>
          <w:rFonts w:ascii="Times New Roman" w:hAnsi="Times New Roman" w:cs="Times New Roman"/>
          <w:sz w:val="24"/>
          <w:szCs w:val="24"/>
          <w:lang w:val="en-GB"/>
        </w:rPr>
        <w:t>he idea is then that</w:t>
      </w:r>
      <w:r w:rsidR="00DA736D">
        <w:rPr>
          <w:rFonts w:ascii="Times New Roman" w:hAnsi="Times New Roman" w:cs="Times New Roman"/>
          <w:sz w:val="24"/>
          <w:szCs w:val="24"/>
          <w:lang w:val="en-GB"/>
        </w:rPr>
        <w:t>,</w:t>
      </w:r>
      <w:r w:rsidR="00625FB5">
        <w:rPr>
          <w:rFonts w:ascii="Times New Roman" w:hAnsi="Times New Roman" w:cs="Times New Roman"/>
          <w:sz w:val="24"/>
          <w:szCs w:val="24"/>
          <w:lang w:val="en-GB"/>
        </w:rPr>
        <w:t xml:space="preserve"> </w:t>
      </w:r>
      <w:r w:rsidR="00FC26E2">
        <w:rPr>
          <w:rFonts w:ascii="Times New Roman" w:hAnsi="Times New Roman" w:cs="Times New Roman"/>
          <w:sz w:val="24"/>
          <w:szCs w:val="24"/>
          <w:lang w:val="en-GB"/>
        </w:rPr>
        <w:t>although variables</w:t>
      </w:r>
      <w:r w:rsidR="00713909">
        <w:rPr>
          <w:rFonts w:ascii="Times New Roman" w:hAnsi="Times New Roman" w:cs="Times New Roman"/>
          <w:sz w:val="24"/>
          <w:szCs w:val="24"/>
          <w:lang w:val="en-GB"/>
        </w:rPr>
        <w:t xml:space="preserve"> such as </w:t>
      </w:r>
      <w:r w:rsidR="00660218">
        <w:rPr>
          <w:rFonts w:ascii="Times New Roman" w:hAnsi="Times New Roman" w:cs="Times New Roman"/>
          <w:sz w:val="24"/>
          <w:szCs w:val="24"/>
          <w:lang w:val="en-GB"/>
        </w:rPr>
        <w:t xml:space="preserve">wages, </w:t>
      </w:r>
      <w:r w:rsidR="00660218">
        <w:rPr>
          <w:rFonts w:ascii="Times New Roman" w:hAnsi="Times New Roman" w:cs="Times New Roman"/>
          <w:sz w:val="24"/>
          <w:szCs w:val="24"/>
          <w:lang w:val="en-GB"/>
        </w:rPr>
        <w:lastRenderedPageBreak/>
        <w:t>prices and productivity</w:t>
      </w:r>
      <w:r w:rsidR="00D459A5">
        <w:rPr>
          <w:rFonts w:ascii="Times New Roman" w:hAnsi="Times New Roman" w:cs="Times New Roman"/>
          <w:sz w:val="24"/>
          <w:szCs w:val="24"/>
          <w:lang w:val="en-GB"/>
        </w:rPr>
        <w:t xml:space="preserve"> are non-stationary</w:t>
      </w:r>
      <w:r w:rsidR="00B94E5D">
        <w:rPr>
          <w:rFonts w:ascii="Times New Roman" w:hAnsi="Times New Roman" w:cs="Times New Roman"/>
          <w:sz w:val="24"/>
          <w:szCs w:val="24"/>
          <w:lang w:val="en-GB"/>
        </w:rPr>
        <w:t xml:space="preserve">, </w:t>
      </w:r>
      <w:r w:rsidR="00D459A5">
        <w:rPr>
          <w:rFonts w:ascii="Times New Roman" w:hAnsi="Times New Roman" w:cs="Times New Roman"/>
          <w:sz w:val="24"/>
          <w:szCs w:val="24"/>
          <w:lang w:val="en-GB"/>
        </w:rPr>
        <w:t xml:space="preserve">i.e. follow </w:t>
      </w:r>
      <w:r w:rsidR="00316F2D">
        <w:rPr>
          <w:rFonts w:ascii="Times New Roman" w:hAnsi="Times New Roman" w:cs="Times New Roman"/>
          <w:sz w:val="24"/>
          <w:szCs w:val="24"/>
          <w:lang w:val="en-GB"/>
        </w:rPr>
        <w:t>stochastic trends, t</w:t>
      </w:r>
      <w:r w:rsidR="008D174A">
        <w:rPr>
          <w:rFonts w:ascii="Times New Roman" w:hAnsi="Times New Roman" w:cs="Times New Roman"/>
          <w:sz w:val="24"/>
          <w:szCs w:val="24"/>
          <w:lang w:val="en-GB"/>
        </w:rPr>
        <w:t>her</w:t>
      </w:r>
      <w:r w:rsidR="00316F2D">
        <w:rPr>
          <w:rFonts w:ascii="Times New Roman" w:hAnsi="Times New Roman" w:cs="Times New Roman"/>
          <w:sz w:val="24"/>
          <w:szCs w:val="24"/>
          <w:lang w:val="en-GB"/>
        </w:rPr>
        <w:t>e ex</w:t>
      </w:r>
      <w:r w:rsidR="00887064">
        <w:rPr>
          <w:rFonts w:ascii="Times New Roman" w:hAnsi="Times New Roman" w:cs="Times New Roman"/>
          <w:sz w:val="24"/>
          <w:szCs w:val="24"/>
          <w:lang w:val="en-GB"/>
        </w:rPr>
        <w:t xml:space="preserve">ist a </w:t>
      </w:r>
      <w:r w:rsidR="001023FB">
        <w:rPr>
          <w:rFonts w:ascii="Times New Roman" w:hAnsi="Times New Roman" w:cs="Times New Roman"/>
          <w:sz w:val="24"/>
          <w:szCs w:val="24"/>
          <w:lang w:val="en-GB"/>
        </w:rPr>
        <w:t xml:space="preserve">stationary </w:t>
      </w:r>
      <w:r w:rsidR="00887064">
        <w:rPr>
          <w:rFonts w:ascii="Times New Roman" w:hAnsi="Times New Roman" w:cs="Times New Roman"/>
          <w:sz w:val="24"/>
          <w:szCs w:val="24"/>
          <w:lang w:val="en-GB"/>
        </w:rPr>
        <w:t>combination of them</w:t>
      </w:r>
      <w:r w:rsidR="00CC3F08">
        <w:rPr>
          <w:rFonts w:ascii="Times New Roman" w:hAnsi="Times New Roman" w:cs="Times New Roman"/>
          <w:sz w:val="24"/>
          <w:szCs w:val="24"/>
          <w:lang w:val="en-GB"/>
        </w:rPr>
        <w:t xml:space="preserve">. </w:t>
      </w:r>
      <w:r w:rsidR="00BC3FDF">
        <w:rPr>
          <w:rFonts w:ascii="Times New Roman" w:hAnsi="Times New Roman" w:cs="Times New Roman"/>
          <w:sz w:val="24"/>
          <w:szCs w:val="24"/>
          <w:lang w:val="en-GB"/>
        </w:rPr>
        <w:t>According to the</w:t>
      </w:r>
      <w:r w:rsidR="00CC3F08">
        <w:rPr>
          <w:rFonts w:ascii="Times New Roman" w:hAnsi="Times New Roman" w:cs="Times New Roman"/>
          <w:sz w:val="24"/>
          <w:szCs w:val="24"/>
          <w:lang w:val="en-GB"/>
        </w:rPr>
        <w:t xml:space="preserve"> technical jargon</w:t>
      </w:r>
      <w:r w:rsidR="00BC3FDF">
        <w:rPr>
          <w:rFonts w:ascii="Times New Roman" w:hAnsi="Times New Roman" w:cs="Times New Roman"/>
          <w:sz w:val="24"/>
          <w:szCs w:val="24"/>
          <w:lang w:val="en-GB"/>
        </w:rPr>
        <w:t>,</w:t>
      </w:r>
      <w:r w:rsidR="00CC3F08">
        <w:rPr>
          <w:rFonts w:ascii="Times New Roman" w:hAnsi="Times New Roman" w:cs="Times New Roman"/>
          <w:sz w:val="24"/>
          <w:szCs w:val="24"/>
          <w:lang w:val="en-GB"/>
        </w:rPr>
        <w:t xml:space="preserve"> the variables are co</w:t>
      </w:r>
      <w:r w:rsidR="0060345C">
        <w:rPr>
          <w:rFonts w:ascii="Times New Roman" w:hAnsi="Times New Roman" w:cs="Times New Roman"/>
          <w:sz w:val="24"/>
          <w:szCs w:val="24"/>
          <w:lang w:val="en-GB"/>
        </w:rPr>
        <w:t>integrated.</w:t>
      </w:r>
      <w:r w:rsidR="00C71D9E">
        <w:rPr>
          <w:rFonts w:ascii="Times New Roman" w:hAnsi="Times New Roman" w:cs="Times New Roman"/>
          <w:sz w:val="24"/>
          <w:szCs w:val="24"/>
          <w:lang w:val="en-GB"/>
        </w:rPr>
        <w:t xml:space="preserve"> Put differently</w:t>
      </w:r>
      <w:r w:rsidR="0013202C">
        <w:rPr>
          <w:rFonts w:ascii="Times New Roman" w:hAnsi="Times New Roman" w:cs="Times New Roman"/>
          <w:sz w:val="24"/>
          <w:szCs w:val="24"/>
          <w:lang w:val="en-GB"/>
        </w:rPr>
        <w:t>, t</w:t>
      </w:r>
      <w:r w:rsidR="008D174A">
        <w:rPr>
          <w:rFonts w:ascii="Times New Roman" w:hAnsi="Times New Roman" w:cs="Times New Roman"/>
          <w:sz w:val="24"/>
          <w:szCs w:val="24"/>
          <w:lang w:val="en-GB"/>
        </w:rPr>
        <w:t>her</w:t>
      </w:r>
      <w:r w:rsidR="0013202C">
        <w:rPr>
          <w:rFonts w:ascii="Times New Roman" w:hAnsi="Times New Roman" w:cs="Times New Roman"/>
          <w:sz w:val="24"/>
          <w:szCs w:val="24"/>
          <w:lang w:val="en-GB"/>
        </w:rPr>
        <w:t xml:space="preserve">e exists </w:t>
      </w:r>
      <w:r w:rsidR="003D55B2">
        <w:rPr>
          <w:rFonts w:ascii="Times New Roman" w:hAnsi="Times New Roman" w:cs="Times New Roman"/>
          <w:sz w:val="24"/>
          <w:szCs w:val="24"/>
          <w:lang w:val="en-GB"/>
        </w:rPr>
        <w:t xml:space="preserve">a long-run relationship </w:t>
      </w:r>
      <w:r w:rsidR="001233DC">
        <w:rPr>
          <w:rFonts w:ascii="Times New Roman" w:hAnsi="Times New Roman" w:cs="Times New Roman"/>
          <w:sz w:val="24"/>
          <w:szCs w:val="24"/>
          <w:lang w:val="en-GB"/>
        </w:rPr>
        <w:t xml:space="preserve">between the wage </w:t>
      </w:r>
      <w:r w:rsidR="00BA2BD0">
        <w:rPr>
          <w:rFonts w:ascii="Times New Roman" w:hAnsi="Times New Roman" w:cs="Times New Roman"/>
          <w:sz w:val="24"/>
          <w:szCs w:val="24"/>
          <w:lang w:val="en-GB"/>
        </w:rPr>
        <w:t xml:space="preserve">and the </w:t>
      </w:r>
      <w:r w:rsidR="006618E0">
        <w:rPr>
          <w:rFonts w:ascii="Times New Roman" w:hAnsi="Times New Roman" w:cs="Times New Roman"/>
          <w:sz w:val="24"/>
          <w:szCs w:val="24"/>
          <w:lang w:val="en-GB"/>
        </w:rPr>
        <w:t xml:space="preserve">value </w:t>
      </w:r>
      <w:r w:rsidR="004012EC">
        <w:rPr>
          <w:rFonts w:ascii="Times New Roman" w:hAnsi="Times New Roman" w:cs="Times New Roman"/>
          <w:sz w:val="24"/>
          <w:szCs w:val="24"/>
          <w:lang w:val="en-GB"/>
        </w:rPr>
        <w:t>added per hour</w:t>
      </w:r>
      <w:r w:rsidR="006618E0">
        <w:rPr>
          <w:rFonts w:ascii="Times New Roman" w:hAnsi="Times New Roman" w:cs="Times New Roman"/>
          <w:sz w:val="24"/>
          <w:szCs w:val="24"/>
          <w:lang w:val="en-GB"/>
        </w:rPr>
        <w:t xml:space="preserve"> </w:t>
      </w:r>
      <w:r w:rsidR="00340365">
        <w:rPr>
          <w:rFonts w:ascii="Times New Roman" w:hAnsi="Times New Roman" w:cs="Times New Roman"/>
          <w:sz w:val="24"/>
          <w:szCs w:val="24"/>
          <w:lang w:val="en-GB"/>
        </w:rPr>
        <w:t>in the tradables secto</w:t>
      </w:r>
      <w:r w:rsidR="000E1B48">
        <w:rPr>
          <w:rFonts w:ascii="Times New Roman" w:hAnsi="Times New Roman" w:cs="Times New Roman"/>
          <w:sz w:val="24"/>
          <w:szCs w:val="24"/>
          <w:lang w:val="en-GB"/>
        </w:rPr>
        <w:t xml:space="preserve">r which the economy strives </w:t>
      </w:r>
      <w:r w:rsidR="00861E77">
        <w:rPr>
          <w:rFonts w:ascii="Times New Roman" w:hAnsi="Times New Roman" w:cs="Times New Roman"/>
          <w:sz w:val="24"/>
          <w:szCs w:val="24"/>
          <w:lang w:val="en-GB"/>
        </w:rPr>
        <w:t>towards</w:t>
      </w:r>
      <w:r w:rsidR="00FF3506">
        <w:rPr>
          <w:rFonts w:ascii="Times New Roman" w:hAnsi="Times New Roman" w:cs="Times New Roman"/>
          <w:sz w:val="24"/>
          <w:szCs w:val="24"/>
          <w:lang w:val="en-GB"/>
        </w:rPr>
        <w:t>.</w:t>
      </w:r>
      <w:r w:rsidR="004877B4">
        <w:rPr>
          <w:rFonts w:ascii="Times New Roman" w:hAnsi="Times New Roman" w:cs="Times New Roman"/>
          <w:sz w:val="24"/>
          <w:szCs w:val="24"/>
          <w:lang w:val="en-GB"/>
        </w:rPr>
        <w:t xml:space="preserve"> Models of this type are labelled error correction models</w:t>
      </w:r>
      <w:r w:rsidR="00A559BA">
        <w:rPr>
          <w:rFonts w:ascii="Times New Roman" w:hAnsi="Times New Roman" w:cs="Times New Roman"/>
          <w:sz w:val="24"/>
          <w:szCs w:val="24"/>
          <w:lang w:val="en-GB"/>
        </w:rPr>
        <w:t xml:space="preserve"> because </w:t>
      </w:r>
      <w:r w:rsidR="005E1589">
        <w:rPr>
          <w:rFonts w:ascii="Times New Roman" w:hAnsi="Times New Roman" w:cs="Times New Roman"/>
          <w:sz w:val="24"/>
          <w:szCs w:val="24"/>
          <w:lang w:val="en-GB"/>
        </w:rPr>
        <w:t xml:space="preserve">the larger the “error”, </w:t>
      </w:r>
      <w:r w:rsidR="005A4856">
        <w:rPr>
          <w:rFonts w:ascii="Times New Roman" w:hAnsi="Times New Roman" w:cs="Times New Roman"/>
          <w:sz w:val="24"/>
          <w:szCs w:val="24"/>
          <w:lang w:val="en-GB"/>
        </w:rPr>
        <w:t>i.e</w:t>
      </w:r>
      <w:r w:rsidR="00410AB0">
        <w:rPr>
          <w:rFonts w:ascii="Times New Roman" w:hAnsi="Times New Roman" w:cs="Times New Roman"/>
          <w:sz w:val="24"/>
          <w:szCs w:val="24"/>
          <w:lang w:val="en-GB"/>
        </w:rPr>
        <w:t>.</w:t>
      </w:r>
      <w:r w:rsidR="005E1589">
        <w:rPr>
          <w:rFonts w:ascii="Times New Roman" w:hAnsi="Times New Roman" w:cs="Times New Roman"/>
          <w:sz w:val="24"/>
          <w:szCs w:val="24"/>
          <w:lang w:val="en-GB"/>
        </w:rPr>
        <w:t xml:space="preserve"> the difference between the </w:t>
      </w:r>
      <w:r w:rsidR="00721F4E">
        <w:rPr>
          <w:rFonts w:ascii="Times New Roman" w:hAnsi="Times New Roman" w:cs="Times New Roman"/>
          <w:sz w:val="24"/>
          <w:szCs w:val="24"/>
          <w:lang w:val="en-GB"/>
        </w:rPr>
        <w:t xml:space="preserve">actual wage and the </w:t>
      </w:r>
      <w:r w:rsidR="005A4856">
        <w:rPr>
          <w:rFonts w:ascii="Times New Roman" w:hAnsi="Times New Roman" w:cs="Times New Roman"/>
          <w:sz w:val="24"/>
          <w:szCs w:val="24"/>
          <w:lang w:val="en-GB"/>
        </w:rPr>
        <w:t xml:space="preserve">wage </w:t>
      </w:r>
      <w:r w:rsidR="004012EC">
        <w:rPr>
          <w:rFonts w:ascii="Times New Roman" w:hAnsi="Times New Roman" w:cs="Times New Roman"/>
          <w:sz w:val="24"/>
          <w:szCs w:val="24"/>
          <w:lang w:val="en-GB"/>
        </w:rPr>
        <w:t>given by</w:t>
      </w:r>
      <w:r w:rsidR="005A4856">
        <w:rPr>
          <w:rFonts w:ascii="Times New Roman" w:hAnsi="Times New Roman" w:cs="Times New Roman"/>
          <w:sz w:val="24"/>
          <w:szCs w:val="24"/>
          <w:lang w:val="en-GB"/>
        </w:rPr>
        <w:t xml:space="preserve"> the long-run relationship</w:t>
      </w:r>
      <w:r w:rsidR="00410AB0">
        <w:rPr>
          <w:rFonts w:ascii="Times New Roman" w:hAnsi="Times New Roman" w:cs="Times New Roman"/>
          <w:sz w:val="24"/>
          <w:szCs w:val="24"/>
          <w:lang w:val="en-GB"/>
        </w:rPr>
        <w:t>, the faster the adjustment to</w:t>
      </w:r>
      <w:r w:rsidR="008944A6">
        <w:rPr>
          <w:rFonts w:ascii="Times New Roman" w:hAnsi="Times New Roman" w:cs="Times New Roman"/>
          <w:sz w:val="24"/>
          <w:szCs w:val="24"/>
          <w:lang w:val="en-GB"/>
        </w:rPr>
        <w:t xml:space="preserve"> it.</w:t>
      </w:r>
    </w:p>
    <w:p w14:paraId="450B2751" w14:textId="3F3FB4BB" w:rsidR="00D87E9D" w:rsidRDefault="003A65A3" w:rsidP="0087210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Several</w:t>
      </w:r>
      <w:r w:rsidR="00834EB3">
        <w:rPr>
          <w:rFonts w:ascii="Times New Roman" w:hAnsi="Times New Roman" w:cs="Times New Roman"/>
          <w:sz w:val="24"/>
          <w:szCs w:val="24"/>
          <w:lang w:val="en-GB"/>
        </w:rPr>
        <w:t xml:space="preserve"> studies </w:t>
      </w:r>
      <w:r w:rsidR="00EC0913">
        <w:rPr>
          <w:rFonts w:ascii="Times New Roman" w:hAnsi="Times New Roman" w:cs="Times New Roman"/>
          <w:sz w:val="24"/>
          <w:szCs w:val="24"/>
          <w:lang w:val="en-GB"/>
        </w:rPr>
        <w:t>have foun</w:t>
      </w:r>
      <w:r w:rsidR="00A328D8">
        <w:rPr>
          <w:rFonts w:ascii="Times New Roman" w:hAnsi="Times New Roman" w:cs="Times New Roman"/>
          <w:sz w:val="24"/>
          <w:szCs w:val="24"/>
          <w:lang w:val="en-GB"/>
        </w:rPr>
        <w:t xml:space="preserve">d support for such an error-correction </w:t>
      </w:r>
      <w:r w:rsidR="00EA25AD">
        <w:rPr>
          <w:rFonts w:ascii="Times New Roman" w:hAnsi="Times New Roman" w:cs="Times New Roman"/>
          <w:sz w:val="24"/>
          <w:szCs w:val="24"/>
          <w:lang w:val="en-GB"/>
        </w:rPr>
        <w:t>interpretation of wage formation i</w:t>
      </w:r>
      <w:r w:rsidR="002B2367">
        <w:rPr>
          <w:rFonts w:ascii="Times New Roman" w:hAnsi="Times New Roman" w:cs="Times New Roman"/>
          <w:sz w:val="24"/>
          <w:szCs w:val="24"/>
          <w:lang w:val="en-GB"/>
        </w:rPr>
        <w:t xml:space="preserve">n </w:t>
      </w:r>
      <w:r w:rsidR="003B0DD5">
        <w:rPr>
          <w:rFonts w:ascii="Times New Roman" w:hAnsi="Times New Roman" w:cs="Times New Roman"/>
          <w:sz w:val="24"/>
          <w:szCs w:val="24"/>
          <w:lang w:val="en-GB"/>
        </w:rPr>
        <w:t>Norwegian</w:t>
      </w:r>
      <w:r w:rsidR="00742729">
        <w:rPr>
          <w:rFonts w:ascii="Times New Roman" w:hAnsi="Times New Roman" w:cs="Times New Roman"/>
          <w:sz w:val="24"/>
          <w:szCs w:val="24"/>
          <w:lang w:val="en-GB"/>
        </w:rPr>
        <w:t xml:space="preserve"> manufacturing and </w:t>
      </w:r>
      <w:r w:rsidR="004B4D82">
        <w:rPr>
          <w:rFonts w:ascii="Times New Roman" w:hAnsi="Times New Roman" w:cs="Times New Roman"/>
          <w:sz w:val="24"/>
          <w:szCs w:val="24"/>
          <w:lang w:val="en-GB"/>
        </w:rPr>
        <w:t>some</w:t>
      </w:r>
      <w:r w:rsidR="00742729">
        <w:rPr>
          <w:rFonts w:ascii="Times New Roman" w:hAnsi="Times New Roman" w:cs="Times New Roman"/>
          <w:sz w:val="24"/>
          <w:szCs w:val="24"/>
          <w:lang w:val="en-GB"/>
        </w:rPr>
        <w:t xml:space="preserve"> also </w:t>
      </w:r>
      <w:r w:rsidR="00841ACE">
        <w:rPr>
          <w:rFonts w:ascii="Times New Roman" w:hAnsi="Times New Roman" w:cs="Times New Roman"/>
          <w:sz w:val="24"/>
          <w:szCs w:val="24"/>
          <w:lang w:val="en-GB"/>
        </w:rPr>
        <w:t>in the ot</w:t>
      </w:r>
      <w:r w:rsidR="008D174A">
        <w:rPr>
          <w:rFonts w:ascii="Times New Roman" w:hAnsi="Times New Roman" w:cs="Times New Roman"/>
          <w:sz w:val="24"/>
          <w:szCs w:val="24"/>
          <w:lang w:val="en-GB"/>
        </w:rPr>
        <w:t>her</w:t>
      </w:r>
      <w:r w:rsidR="00841ACE">
        <w:rPr>
          <w:rFonts w:ascii="Times New Roman" w:hAnsi="Times New Roman" w:cs="Times New Roman"/>
          <w:sz w:val="24"/>
          <w:szCs w:val="24"/>
          <w:lang w:val="en-GB"/>
        </w:rPr>
        <w:t xml:space="preserve"> Nordic countries.</w:t>
      </w:r>
      <w:r w:rsidR="00FB6AA9">
        <w:rPr>
          <w:rStyle w:val="FootnoteReference"/>
          <w:rFonts w:ascii="Times New Roman" w:hAnsi="Times New Roman" w:cs="Times New Roman"/>
          <w:sz w:val="24"/>
          <w:szCs w:val="24"/>
          <w:lang w:val="en-GB"/>
        </w:rPr>
        <w:footnoteReference w:id="13"/>
      </w:r>
      <w:r w:rsidR="0060345C">
        <w:rPr>
          <w:rFonts w:ascii="Times New Roman" w:hAnsi="Times New Roman" w:cs="Times New Roman"/>
          <w:sz w:val="24"/>
          <w:szCs w:val="24"/>
          <w:lang w:val="en-GB"/>
        </w:rPr>
        <w:t xml:space="preserve"> </w:t>
      </w:r>
      <w:r w:rsidR="00EB1F70">
        <w:rPr>
          <w:rFonts w:ascii="Times New Roman" w:hAnsi="Times New Roman" w:cs="Times New Roman"/>
          <w:sz w:val="24"/>
          <w:szCs w:val="24"/>
          <w:lang w:val="en-GB"/>
        </w:rPr>
        <w:t xml:space="preserve">Two recent contributions are </w:t>
      </w:r>
      <w:r w:rsidR="00B07A87">
        <w:rPr>
          <w:rFonts w:ascii="Times New Roman" w:hAnsi="Times New Roman" w:cs="Times New Roman"/>
          <w:sz w:val="24"/>
          <w:szCs w:val="24"/>
          <w:lang w:val="en-GB"/>
        </w:rPr>
        <w:t>Gjelsvik et al. (2020) and Dalnoki</w:t>
      </w:r>
      <w:r w:rsidR="00446EE9">
        <w:rPr>
          <w:rFonts w:ascii="Times New Roman" w:hAnsi="Times New Roman" w:cs="Times New Roman"/>
          <w:sz w:val="24"/>
          <w:szCs w:val="24"/>
          <w:lang w:val="en-GB"/>
        </w:rPr>
        <w:t xml:space="preserve"> (2020)</w:t>
      </w:r>
      <w:r w:rsidR="004B4D82">
        <w:rPr>
          <w:rFonts w:ascii="Times New Roman" w:hAnsi="Times New Roman" w:cs="Times New Roman"/>
          <w:sz w:val="24"/>
          <w:szCs w:val="24"/>
          <w:lang w:val="en-GB"/>
        </w:rPr>
        <w:t xml:space="preserve">, </w:t>
      </w:r>
      <w:r w:rsidR="000C7982">
        <w:rPr>
          <w:rFonts w:ascii="Times New Roman" w:hAnsi="Times New Roman" w:cs="Times New Roman"/>
          <w:sz w:val="24"/>
          <w:szCs w:val="24"/>
          <w:lang w:val="en-GB"/>
        </w:rPr>
        <w:t>who</w:t>
      </w:r>
      <w:r w:rsidR="00446EE9">
        <w:rPr>
          <w:rFonts w:ascii="Times New Roman" w:hAnsi="Times New Roman" w:cs="Times New Roman"/>
          <w:sz w:val="24"/>
          <w:szCs w:val="24"/>
          <w:lang w:val="en-GB"/>
        </w:rPr>
        <w:t xml:space="preserve"> </w:t>
      </w:r>
      <w:r w:rsidR="001C797D">
        <w:rPr>
          <w:rFonts w:ascii="Times New Roman" w:hAnsi="Times New Roman" w:cs="Times New Roman"/>
          <w:sz w:val="24"/>
          <w:szCs w:val="24"/>
          <w:lang w:val="en-GB"/>
        </w:rPr>
        <w:t xml:space="preserve">also </w:t>
      </w:r>
      <w:r w:rsidR="00DE387C">
        <w:rPr>
          <w:rFonts w:ascii="Times New Roman" w:hAnsi="Times New Roman" w:cs="Times New Roman"/>
          <w:sz w:val="24"/>
          <w:szCs w:val="24"/>
          <w:lang w:val="en-GB"/>
        </w:rPr>
        <w:t xml:space="preserve">find </w:t>
      </w:r>
      <w:r w:rsidR="003B1464">
        <w:rPr>
          <w:rFonts w:ascii="Times New Roman" w:hAnsi="Times New Roman" w:cs="Times New Roman"/>
          <w:sz w:val="24"/>
          <w:szCs w:val="24"/>
          <w:lang w:val="en-GB"/>
        </w:rPr>
        <w:t xml:space="preserve">that </w:t>
      </w:r>
      <w:r w:rsidR="00A80103">
        <w:rPr>
          <w:rFonts w:ascii="Times New Roman" w:hAnsi="Times New Roman" w:cs="Times New Roman"/>
          <w:sz w:val="24"/>
          <w:szCs w:val="24"/>
          <w:lang w:val="en-GB"/>
        </w:rPr>
        <w:t xml:space="preserve">wages in the </w:t>
      </w:r>
      <w:r w:rsidR="008B3895">
        <w:rPr>
          <w:rFonts w:ascii="Times New Roman" w:hAnsi="Times New Roman" w:cs="Times New Roman"/>
          <w:sz w:val="24"/>
          <w:szCs w:val="24"/>
          <w:lang w:val="en-GB"/>
        </w:rPr>
        <w:t>nontradables</w:t>
      </w:r>
      <w:r w:rsidR="00A80103">
        <w:rPr>
          <w:rFonts w:ascii="Times New Roman" w:hAnsi="Times New Roman" w:cs="Times New Roman"/>
          <w:sz w:val="24"/>
          <w:szCs w:val="24"/>
          <w:lang w:val="en-GB"/>
        </w:rPr>
        <w:t xml:space="preserve"> and public sectors follow those in manufacturing.</w:t>
      </w:r>
      <w:r w:rsidR="00E4626E">
        <w:rPr>
          <w:rFonts w:ascii="Times New Roman" w:hAnsi="Times New Roman" w:cs="Times New Roman"/>
          <w:sz w:val="24"/>
          <w:szCs w:val="24"/>
          <w:lang w:val="en-GB"/>
        </w:rPr>
        <w:t xml:space="preserve"> </w:t>
      </w:r>
    </w:p>
    <w:p w14:paraId="12A28BBE" w14:textId="77777777" w:rsidR="00F80ED1" w:rsidRDefault="005E7BE1" w:rsidP="005E7BE1">
      <w:pPr>
        <w:pStyle w:val="Heading2"/>
        <w:rPr>
          <w:lang w:val="en-GB"/>
        </w:rPr>
      </w:pPr>
      <w:r>
        <w:rPr>
          <w:lang w:val="en-GB"/>
        </w:rPr>
        <w:t>3.2 The normative interpretation</w:t>
      </w:r>
    </w:p>
    <w:p w14:paraId="23479E27" w14:textId="033DE30B" w:rsidR="00CE6F0B" w:rsidRDefault="003F2274" w:rsidP="00CE6F0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is a small step from </w:t>
      </w:r>
      <w:r w:rsidR="00C819AC">
        <w:rPr>
          <w:rFonts w:ascii="Times New Roman" w:hAnsi="Times New Roman" w:cs="Times New Roman"/>
          <w:sz w:val="24"/>
          <w:szCs w:val="24"/>
          <w:lang w:val="en-GB"/>
        </w:rPr>
        <w:t xml:space="preserve">the idea that </w:t>
      </w:r>
      <w:r w:rsidR="008C69AD">
        <w:rPr>
          <w:rFonts w:ascii="Times New Roman" w:hAnsi="Times New Roman" w:cs="Times New Roman"/>
          <w:sz w:val="24"/>
          <w:szCs w:val="24"/>
          <w:lang w:val="en-GB"/>
        </w:rPr>
        <w:t>t</w:t>
      </w:r>
      <w:r w:rsidR="008D174A">
        <w:rPr>
          <w:rFonts w:ascii="Times New Roman" w:hAnsi="Times New Roman" w:cs="Times New Roman"/>
          <w:sz w:val="24"/>
          <w:szCs w:val="24"/>
          <w:lang w:val="en-GB"/>
        </w:rPr>
        <w:t>her</w:t>
      </w:r>
      <w:r w:rsidR="008C69AD">
        <w:rPr>
          <w:rFonts w:ascii="Times New Roman" w:hAnsi="Times New Roman" w:cs="Times New Roman"/>
          <w:sz w:val="24"/>
          <w:szCs w:val="24"/>
          <w:lang w:val="en-GB"/>
        </w:rPr>
        <w:t>e exists a main course for wages</w:t>
      </w:r>
      <w:r w:rsidR="00DE462A">
        <w:rPr>
          <w:rFonts w:ascii="Times New Roman" w:hAnsi="Times New Roman" w:cs="Times New Roman"/>
          <w:sz w:val="24"/>
          <w:szCs w:val="24"/>
          <w:lang w:val="en-GB"/>
        </w:rPr>
        <w:t xml:space="preserve"> and that deviations from it </w:t>
      </w:r>
      <w:r w:rsidR="00635E9A">
        <w:rPr>
          <w:rFonts w:ascii="Times New Roman" w:hAnsi="Times New Roman" w:cs="Times New Roman"/>
          <w:sz w:val="24"/>
          <w:szCs w:val="24"/>
          <w:lang w:val="en-GB"/>
        </w:rPr>
        <w:t xml:space="preserve">trigger mechanisms </w:t>
      </w:r>
      <w:r w:rsidR="00D71F04">
        <w:rPr>
          <w:rFonts w:ascii="Times New Roman" w:hAnsi="Times New Roman" w:cs="Times New Roman"/>
          <w:sz w:val="24"/>
          <w:szCs w:val="24"/>
          <w:lang w:val="en-GB"/>
        </w:rPr>
        <w:t xml:space="preserve">that </w:t>
      </w:r>
      <w:r w:rsidR="00131322">
        <w:rPr>
          <w:rFonts w:ascii="Times New Roman" w:hAnsi="Times New Roman" w:cs="Times New Roman"/>
          <w:sz w:val="24"/>
          <w:szCs w:val="24"/>
          <w:lang w:val="en-GB"/>
        </w:rPr>
        <w:t>bring them in line again</w:t>
      </w:r>
      <w:r w:rsidR="0020053C">
        <w:rPr>
          <w:rFonts w:ascii="Times New Roman" w:hAnsi="Times New Roman" w:cs="Times New Roman"/>
          <w:sz w:val="24"/>
          <w:szCs w:val="24"/>
          <w:lang w:val="en-GB"/>
        </w:rPr>
        <w:t xml:space="preserve"> to a normative </w:t>
      </w:r>
      <w:r w:rsidR="00B12DB2">
        <w:rPr>
          <w:rFonts w:ascii="Times New Roman" w:hAnsi="Times New Roman" w:cs="Times New Roman"/>
          <w:sz w:val="24"/>
          <w:szCs w:val="24"/>
          <w:lang w:val="en-GB"/>
        </w:rPr>
        <w:t>prescription</w:t>
      </w:r>
      <w:r w:rsidR="0020053C">
        <w:rPr>
          <w:rFonts w:ascii="Times New Roman" w:hAnsi="Times New Roman" w:cs="Times New Roman"/>
          <w:sz w:val="24"/>
          <w:szCs w:val="24"/>
          <w:lang w:val="en-GB"/>
        </w:rPr>
        <w:t xml:space="preserve"> </w:t>
      </w:r>
      <w:r w:rsidR="00694CA6">
        <w:rPr>
          <w:rFonts w:ascii="Times New Roman" w:hAnsi="Times New Roman" w:cs="Times New Roman"/>
          <w:sz w:val="24"/>
          <w:szCs w:val="24"/>
          <w:lang w:val="en-GB"/>
        </w:rPr>
        <w:t>tha</w:t>
      </w:r>
      <w:r w:rsidR="00A20B33">
        <w:rPr>
          <w:rFonts w:ascii="Times New Roman" w:hAnsi="Times New Roman" w:cs="Times New Roman"/>
          <w:sz w:val="24"/>
          <w:szCs w:val="24"/>
          <w:lang w:val="en-GB"/>
        </w:rPr>
        <w:t>t the labour market</w:t>
      </w:r>
      <w:r w:rsidR="006C63AB">
        <w:rPr>
          <w:rFonts w:ascii="Times New Roman" w:hAnsi="Times New Roman" w:cs="Times New Roman"/>
          <w:sz w:val="24"/>
          <w:szCs w:val="24"/>
          <w:lang w:val="en-GB"/>
        </w:rPr>
        <w:t xml:space="preserve"> parties</w:t>
      </w:r>
      <w:r w:rsidR="00A20B33">
        <w:rPr>
          <w:rFonts w:ascii="Times New Roman" w:hAnsi="Times New Roman" w:cs="Times New Roman"/>
          <w:sz w:val="24"/>
          <w:szCs w:val="24"/>
          <w:lang w:val="en-GB"/>
        </w:rPr>
        <w:t xml:space="preserve"> </w:t>
      </w:r>
      <w:r w:rsidR="00A20B33">
        <w:rPr>
          <w:rFonts w:ascii="Times New Roman" w:hAnsi="Times New Roman" w:cs="Times New Roman"/>
          <w:i/>
          <w:iCs/>
          <w:sz w:val="24"/>
          <w:szCs w:val="24"/>
          <w:lang w:val="en-GB"/>
        </w:rPr>
        <w:t xml:space="preserve">should </w:t>
      </w:r>
      <w:r w:rsidR="00A20B33">
        <w:rPr>
          <w:rFonts w:ascii="Times New Roman" w:hAnsi="Times New Roman" w:cs="Times New Roman"/>
          <w:sz w:val="24"/>
          <w:szCs w:val="24"/>
          <w:lang w:val="en-GB"/>
        </w:rPr>
        <w:t>set wage</w:t>
      </w:r>
      <w:r w:rsidR="001E44F8">
        <w:rPr>
          <w:rFonts w:ascii="Times New Roman" w:hAnsi="Times New Roman" w:cs="Times New Roman"/>
          <w:sz w:val="24"/>
          <w:szCs w:val="24"/>
          <w:lang w:val="en-GB"/>
        </w:rPr>
        <w:t xml:space="preserve">s </w:t>
      </w:r>
      <w:r w:rsidR="009C7233">
        <w:rPr>
          <w:rFonts w:ascii="Times New Roman" w:hAnsi="Times New Roman" w:cs="Times New Roman"/>
          <w:sz w:val="24"/>
          <w:szCs w:val="24"/>
          <w:lang w:val="en-GB"/>
        </w:rPr>
        <w:t xml:space="preserve">according to </w:t>
      </w:r>
      <w:r w:rsidR="00204C08">
        <w:rPr>
          <w:rFonts w:ascii="Times New Roman" w:hAnsi="Times New Roman" w:cs="Times New Roman"/>
          <w:sz w:val="24"/>
          <w:szCs w:val="24"/>
          <w:lang w:val="en-GB"/>
        </w:rPr>
        <w:t>such a</w:t>
      </w:r>
      <w:r w:rsidR="007473B1">
        <w:rPr>
          <w:rFonts w:ascii="Times New Roman" w:hAnsi="Times New Roman" w:cs="Times New Roman"/>
          <w:sz w:val="24"/>
          <w:szCs w:val="24"/>
          <w:lang w:val="en-GB"/>
        </w:rPr>
        <w:t xml:space="preserve"> principle. More specifically, if</w:t>
      </w:r>
      <w:r w:rsidR="008D114E">
        <w:rPr>
          <w:rFonts w:ascii="Times New Roman" w:hAnsi="Times New Roman" w:cs="Times New Roman"/>
          <w:sz w:val="24"/>
          <w:szCs w:val="24"/>
          <w:lang w:val="en-GB"/>
        </w:rPr>
        <w:t xml:space="preserve"> an upward (downward) </w:t>
      </w:r>
      <w:r w:rsidR="00500E83">
        <w:rPr>
          <w:rFonts w:ascii="Times New Roman" w:hAnsi="Times New Roman" w:cs="Times New Roman"/>
          <w:sz w:val="24"/>
          <w:szCs w:val="24"/>
          <w:lang w:val="en-GB"/>
        </w:rPr>
        <w:t xml:space="preserve">deviation from the scope for wage increases causes unemployment </w:t>
      </w:r>
      <w:r w:rsidR="008C478C">
        <w:rPr>
          <w:rFonts w:ascii="Times New Roman" w:hAnsi="Times New Roman" w:cs="Times New Roman"/>
          <w:sz w:val="24"/>
          <w:szCs w:val="24"/>
          <w:lang w:val="en-GB"/>
        </w:rPr>
        <w:t>(labour shortages)</w:t>
      </w:r>
      <w:r w:rsidR="005E6DF4">
        <w:rPr>
          <w:rFonts w:ascii="Times New Roman" w:hAnsi="Times New Roman" w:cs="Times New Roman"/>
          <w:sz w:val="24"/>
          <w:szCs w:val="24"/>
          <w:lang w:val="en-GB"/>
        </w:rPr>
        <w:t xml:space="preserve"> which</w:t>
      </w:r>
      <w:r w:rsidR="004A6AE7">
        <w:rPr>
          <w:rFonts w:ascii="Times New Roman" w:hAnsi="Times New Roman" w:cs="Times New Roman"/>
          <w:sz w:val="24"/>
          <w:szCs w:val="24"/>
          <w:lang w:val="en-GB"/>
        </w:rPr>
        <w:t xml:space="preserve"> lower (</w:t>
      </w:r>
      <w:r w:rsidR="00992664">
        <w:rPr>
          <w:rFonts w:ascii="Times New Roman" w:hAnsi="Times New Roman" w:cs="Times New Roman"/>
          <w:sz w:val="24"/>
          <w:szCs w:val="24"/>
          <w:lang w:val="en-GB"/>
        </w:rPr>
        <w:t xml:space="preserve">raise) wages again, </w:t>
      </w:r>
      <w:r w:rsidR="00657847">
        <w:rPr>
          <w:rFonts w:ascii="Times New Roman" w:hAnsi="Times New Roman" w:cs="Times New Roman"/>
          <w:sz w:val="24"/>
          <w:szCs w:val="24"/>
          <w:lang w:val="en-GB"/>
        </w:rPr>
        <w:t>t</w:t>
      </w:r>
      <w:r w:rsidR="008D174A">
        <w:rPr>
          <w:rFonts w:ascii="Times New Roman" w:hAnsi="Times New Roman" w:cs="Times New Roman"/>
          <w:sz w:val="24"/>
          <w:szCs w:val="24"/>
          <w:lang w:val="en-GB"/>
        </w:rPr>
        <w:t>her</w:t>
      </w:r>
      <w:r w:rsidR="00657847">
        <w:rPr>
          <w:rFonts w:ascii="Times New Roman" w:hAnsi="Times New Roman" w:cs="Times New Roman"/>
          <w:sz w:val="24"/>
          <w:szCs w:val="24"/>
          <w:lang w:val="en-GB"/>
        </w:rPr>
        <w:t xml:space="preserve">e is a welfare gain from avoiding these fluctuations in economic activity by </w:t>
      </w:r>
      <w:r w:rsidR="004045D7">
        <w:rPr>
          <w:rFonts w:ascii="Times New Roman" w:hAnsi="Times New Roman" w:cs="Times New Roman"/>
          <w:sz w:val="24"/>
          <w:szCs w:val="24"/>
          <w:lang w:val="en-GB"/>
        </w:rPr>
        <w:t>ad</w:t>
      </w:r>
      <w:r w:rsidR="008D174A">
        <w:rPr>
          <w:rFonts w:ascii="Times New Roman" w:hAnsi="Times New Roman" w:cs="Times New Roman"/>
          <w:sz w:val="24"/>
          <w:szCs w:val="24"/>
          <w:lang w:val="en-GB"/>
        </w:rPr>
        <w:t>her</w:t>
      </w:r>
      <w:r w:rsidR="004045D7">
        <w:rPr>
          <w:rFonts w:ascii="Times New Roman" w:hAnsi="Times New Roman" w:cs="Times New Roman"/>
          <w:sz w:val="24"/>
          <w:szCs w:val="24"/>
          <w:lang w:val="en-GB"/>
        </w:rPr>
        <w:t>ing to</w:t>
      </w:r>
      <w:r w:rsidR="00657847">
        <w:rPr>
          <w:rFonts w:ascii="Times New Roman" w:hAnsi="Times New Roman" w:cs="Times New Roman"/>
          <w:sz w:val="24"/>
          <w:szCs w:val="24"/>
          <w:lang w:val="en-GB"/>
        </w:rPr>
        <w:t xml:space="preserve"> the main course in the first place</w:t>
      </w:r>
      <w:r w:rsidR="00AF56DA">
        <w:rPr>
          <w:rFonts w:ascii="Times New Roman" w:hAnsi="Times New Roman" w:cs="Times New Roman"/>
          <w:sz w:val="24"/>
          <w:szCs w:val="24"/>
          <w:lang w:val="en-GB"/>
        </w:rPr>
        <w:t xml:space="preserve"> (</w:t>
      </w:r>
      <w:r w:rsidR="000B3334">
        <w:rPr>
          <w:rFonts w:ascii="Times New Roman" w:hAnsi="Times New Roman" w:cs="Times New Roman"/>
          <w:sz w:val="24"/>
          <w:szCs w:val="24"/>
          <w:lang w:val="en-GB"/>
        </w:rPr>
        <w:t xml:space="preserve">e.g. </w:t>
      </w:r>
      <w:r w:rsidR="000B3334" w:rsidRPr="000E7D51">
        <w:rPr>
          <w:rFonts w:ascii="Times New Roman" w:hAnsi="Times New Roman" w:cs="Times New Roman"/>
          <w:sz w:val="24"/>
          <w:szCs w:val="24"/>
          <w:lang w:val="en-GB"/>
        </w:rPr>
        <w:t>Facken inom industrin</w:t>
      </w:r>
      <w:r w:rsidR="00B15393" w:rsidRPr="000E7D51">
        <w:rPr>
          <w:rFonts w:ascii="Times New Roman" w:hAnsi="Times New Roman" w:cs="Times New Roman"/>
          <w:sz w:val="24"/>
          <w:szCs w:val="24"/>
          <w:lang w:val="en-GB"/>
        </w:rPr>
        <w:t>,</w:t>
      </w:r>
      <w:r w:rsidR="000B3334" w:rsidRPr="000E7D51">
        <w:rPr>
          <w:rFonts w:ascii="Times New Roman" w:hAnsi="Times New Roman" w:cs="Times New Roman"/>
          <w:sz w:val="24"/>
          <w:szCs w:val="24"/>
          <w:lang w:val="en-GB"/>
        </w:rPr>
        <w:t xml:space="preserve"> 2015</w:t>
      </w:r>
      <w:r w:rsidR="00806A70" w:rsidRPr="000E7D51">
        <w:rPr>
          <w:rFonts w:ascii="Times New Roman" w:hAnsi="Times New Roman" w:cs="Times New Roman"/>
          <w:sz w:val="24"/>
          <w:szCs w:val="24"/>
          <w:lang w:val="en-GB"/>
        </w:rPr>
        <w:t xml:space="preserve">; </w:t>
      </w:r>
      <w:r w:rsidR="000B3334" w:rsidRPr="000E7D51">
        <w:rPr>
          <w:rFonts w:ascii="Times New Roman" w:hAnsi="Times New Roman" w:cs="Times New Roman"/>
          <w:sz w:val="24"/>
          <w:szCs w:val="24"/>
          <w:lang w:val="en-GB"/>
        </w:rPr>
        <w:t>Holden IV-utvalget</w:t>
      </w:r>
      <w:r w:rsidR="00806A70" w:rsidRPr="000E7D51">
        <w:rPr>
          <w:rFonts w:ascii="Times New Roman" w:hAnsi="Times New Roman" w:cs="Times New Roman"/>
          <w:sz w:val="24"/>
          <w:szCs w:val="24"/>
          <w:lang w:val="en-GB"/>
        </w:rPr>
        <w:t>,</w:t>
      </w:r>
      <w:r w:rsidR="000B3334" w:rsidRPr="000E7D51">
        <w:rPr>
          <w:rFonts w:ascii="Times New Roman" w:hAnsi="Times New Roman" w:cs="Times New Roman"/>
          <w:sz w:val="24"/>
          <w:szCs w:val="24"/>
          <w:lang w:val="en-GB"/>
        </w:rPr>
        <w:t xml:space="preserve"> 2023</w:t>
      </w:r>
      <w:r w:rsidR="000B3334" w:rsidRPr="000B3334">
        <w:rPr>
          <w:rFonts w:ascii="Times New Roman" w:hAnsi="Times New Roman" w:cs="Times New Roman"/>
          <w:lang w:val="en-GB"/>
        </w:rPr>
        <w:t>).</w:t>
      </w:r>
      <w:r w:rsidR="00785B2D">
        <w:rPr>
          <w:rFonts w:ascii="Times New Roman" w:hAnsi="Times New Roman" w:cs="Times New Roman"/>
          <w:lang w:val="en-GB"/>
        </w:rPr>
        <w:t xml:space="preserve"> </w:t>
      </w:r>
      <w:r w:rsidR="004A0152" w:rsidRPr="004A0152">
        <w:rPr>
          <w:rFonts w:ascii="Times New Roman" w:hAnsi="Times New Roman" w:cs="Times New Roman"/>
          <w:sz w:val="24"/>
          <w:szCs w:val="24"/>
          <w:lang w:val="en-GB"/>
        </w:rPr>
        <w:t>Wage increases</w:t>
      </w:r>
      <w:r w:rsidR="004A0152">
        <w:rPr>
          <w:rFonts w:ascii="Times New Roman" w:hAnsi="Times New Roman" w:cs="Times New Roman"/>
          <w:lang w:val="en-GB"/>
        </w:rPr>
        <w:t xml:space="preserve"> </w:t>
      </w:r>
      <w:r w:rsidR="008D66DB">
        <w:rPr>
          <w:rFonts w:ascii="Times New Roman" w:hAnsi="Times New Roman" w:cs="Times New Roman"/>
          <w:sz w:val="24"/>
          <w:szCs w:val="24"/>
          <w:lang w:val="en-GB"/>
        </w:rPr>
        <w:t xml:space="preserve">in line </w:t>
      </w:r>
      <w:r w:rsidR="00B77ECC">
        <w:rPr>
          <w:rFonts w:ascii="Times New Roman" w:hAnsi="Times New Roman" w:cs="Times New Roman"/>
          <w:sz w:val="24"/>
          <w:szCs w:val="24"/>
          <w:lang w:val="en-GB"/>
        </w:rPr>
        <w:t xml:space="preserve">with the main course are </w:t>
      </w:r>
      <w:r w:rsidR="009E50D5">
        <w:rPr>
          <w:rFonts w:ascii="Times New Roman" w:hAnsi="Times New Roman" w:cs="Times New Roman"/>
          <w:sz w:val="24"/>
          <w:szCs w:val="24"/>
          <w:lang w:val="en-GB"/>
        </w:rPr>
        <w:t xml:space="preserve">usually also </w:t>
      </w:r>
      <w:r w:rsidR="00A203AF">
        <w:rPr>
          <w:rFonts w:ascii="Times New Roman" w:hAnsi="Times New Roman" w:cs="Times New Roman"/>
          <w:sz w:val="24"/>
          <w:szCs w:val="24"/>
          <w:lang w:val="en-GB"/>
        </w:rPr>
        <w:t xml:space="preserve">seen as </w:t>
      </w:r>
      <w:r w:rsidR="006607AC">
        <w:rPr>
          <w:rFonts w:ascii="Times New Roman" w:hAnsi="Times New Roman" w:cs="Times New Roman"/>
          <w:sz w:val="24"/>
          <w:szCs w:val="24"/>
          <w:lang w:val="en-GB"/>
        </w:rPr>
        <w:t xml:space="preserve">motivated in order to </w:t>
      </w:r>
      <w:r w:rsidR="004B67D3">
        <w:rPr>
          <w:rFonts w:ascii="Times New Roman" w:hAnsi="Times New Roman" w:cs="Times New Roman"/>
          <w:sz w:val="24"/>
          <w:szCs w:val="24"/>
          <w:lang w:val="en-GB"/>
        </w:rPr>
        <w:t>ensure</w:t>
      </w:r>
      <w:r w:rsidR="00BE006C">
        <w:rPr>
          <w:rFonts w:ascii="Times New Roman" w:hAnsi="Times New Roman" w:cs="Times New Roman"/>
          <w:sz w:val="24"/>
          <w:szCs w:val="24"/>
          <w:lang w:val="en-GB"/>
        </w:rPr>
        <w:t xml:space="preserve"> </w:t>
      </w:r>
      <w:r w:rsidR="008013AF">
        <w:rPr>
          <w:rFonts w:ascii="Times New Roman" w:hAnsi="Times New Roman" w:cs="Times New Roman"/>
          <w:sz w:val="24"/>
          <w:szCs w:val="24"/>
          <w:lang w:val="en-GB"/>
        </w:rPr>
        <w:t xml:space="preserve">a size of the tradables </w:t>
      </w:r>
      <w:r w:rsidR="008235BA">
        <w:rPr>
          <w:rFonts w:ascii="Times New Roman" w:hAnsi="Times New Roman" w:cs="Times New Roman"/>
          <w:sz w:val="24"/>
          <w:szCs w:val="24"/>
          <w:lang w:val="en-GB"/>
        </w:rPr>
        <w:t xml:space="preserve">(export) sector </w:t>
      </w:r>
      <w:r w:rsidR="004B67D3">
        <w:rPr>
          <w:rFonts w:ascii="Times New Roman" w:hAnsi="Times New Roman" w:cs="Times New Roman"/>
          <w:sz w:val="24"/>
          <w:szCs w:val="24"/>
          <w:lang w:val="en-GB"/>
        </w:rPr>
        <w:t>allowing</w:t>
      </w:r>
      <w:r w:rsidR="00B91158">
        <w:rPr>
          <w:rFonts w:ascii="Times New Roman" w:hAnsi="Times New Roman" w:cs="Times New Roman"/>
          <w:sz w:val="24"/>
          <w:szCs w:val="24"/>
          <w:lang w:val="en-GB"/>
        </w:rPr>
        <w:t xml:space="preserve"> desired imports</w:t>
      </w:r>
      <w:r w:rsidR="004B67D3">
        <w:rPr>
          <w:rFonts w:ascii="Times New Roman" w:hAnsi="Times New Roman" w:cs="Times New Roman"/>
          <w:sz w:val="24"/>
          <w:szCs w:val="24"/>
          <w:lang w:val="en-GB"/>
        </w:rPr>
        <w:t xml:space="preserve"> to be financed</w:t>
      </w:r>
      <w:r w:rsidR="00CA1A0B">
        <w:rPr>
          <w:rFonts w:ascii="Times New Roman" w:hAnsi="Times New Roman" w:cs="Times New Roman"/>
          <w:sz w:val="24"/>
          <w:szCs w:val="24"/>
          <w:lang w:val="en-GB"/>
        </w:rPr>
        <w:t xml:space="preserve"> (e.g. </w:t>
      </w:r>
      <w:r w:rsidR="00E11EC7">
        <w:rPr>
          <w:rFonts w:ascii="Times New Roman" w:hAnsi="Times New Roman" w:cs="Times New Roman"/>
          <w:sz w:val="24"/>
          <w:szCs w:val="24"/>
          <w:lang w:val="en-GB"/>
        </w:rPr>
        <w:t>Aukrust</w:t>
      </w:r>
      <w:r w:rsidR="002B0AA7">
        <w:rPr>
          <w:rFonts w:ascii="Times New Roman" w:hAnsi="Times New Roman" w:cs="Times New Roman"/>
          <w:sz w:val="24"/>
          <w:szCs w:val="24"/>
          <w:lang w:val="en-GB"/>
        </w:rPr>
        <w:t xml:space="preserve">, 1977; </w:t>
      </w:r>
      <w:r w:rsidR="00CA1A0B">
        <w:rPr>
          <w:rFonts w:ascii="Times New Roman" w:hAnsi="Times New Roman" w:cs="Times New Roman"/>
          <w:sz w:val="24"/>
          <w:szCs w:val="24"/>
          <w:lang w:val="en-GB"/>
        </w:rPr>
        <w:t>Holden IV-utvalget</w:t>
      </w:r>
      <w:r w:rsidR="00B77ECC">
        <w:rPr>
          <w:rFonts w:ascii="Times New Roman" w:hAnsi="Times New Roman" w:cs="Times New Roman"/>
          <w:sz w:val="24"/>
          <w:szCs w:val="24"/>
          <w:lang w:val="en-GB"/>
        </w:rPr>
        <w:t xml:space="preserve"> </w:t>
      </w:r>
      <w:r w:rsidR="00CA1A0B">
        <w:rPr>
          <w:rFonts w:ascii="Times New Roman" w:hAnsi="Times New Roman" w:cs="Times New Roman"/>
          <w:sz w:val="24"/>
          <w:szCs w:val="24"/>
          <w:lang w:val="en-GB"/>
        </w:rPr>
        <w:t>202</w:t>
      </w:r>
      <w:r w:rsidR="00A03C29">
        <w:rPr>
          <w:rFonts w:ascii="Times New Roman" w:hAnsi="Times New Roman" w:cs="Times New Roman"/>
          <w:sz w:val="24"/>
          <w:szCs w:val="24"/>
          <w:lang w:val="en-GB"/>
        </w:rPr>
        <w:t>3</w:t>
      </w:r>
      <w:r w:rsidR="00CA1A0B">
        <w:rPr>
          <w:rFonts w:ascii="Times New Roman" w:hAnsi="Times New Roman" w:cs="Times New Roman"/>
          <w:sz w:val="24"/>
          <w:szCs w:val="24"/>
          <w:lang w:val="en-GB"/>
        </w:rPr>
        <w:t>)</w:t>
      </w:r>
      <w:r w:rsidR="00333E5F">
        <w:rPr>
          <w:rFonts w:ascii="Times New Roman" w:hAnsi="Times New Roman" w:cs="Times New Roman"/>
          <w:sz w:val="24"/>
          <w:szCs w:val="24"/>
          <w:lang w:val="en-GB"/>
        </w:rPr>
        <w:t>.</w:t>
      </w:r>
      <w:r w:rsidR="002B0AA7">
        <w:rPr>
          <w:rFonts w:ascii="Times New Roman" w:hAnsi="Times New Roman" w:cs="Times New Roman"/>
          <w:sz w:val="24"/>
          <w:szCs w:val="24"/>
          <w:lang w:val="en-GB"/>
        </w:rPr>
        <w:t xml:space="preserve"> </w:t>
      </w:r>
      <w:r w:rsidR="0092047E">
        <w:rPr>
          <w:rFonts w:ascii="Times New Roman" w:hAnsi="Times New Roman" w:cs="Times New Roman"/>
          <w:sz w:val="24"/>
          <w:szCs w:val="24"/>
          <w:lang w:val="en-GB"/>
        </w:rPr>
        <w:t xml:space="preserve">In addition, </w:t>
      </w:r>
      <w:r w:rsidR="0019015D">
        <w:rPr>
          <w:rFonts w:ascii="Times New Roman" w:hAnsi="Times New Roman" w:cs="Times New Roman"/>
          <w:sz w:val="24"/>
          <w:szCs w:val="24"/>
          <w:lang w:val="en-GB"/>
        </w:rPr>
        <w:t xml:space="preserve">it has been </w:t>
      </w:r>
      <w:r w:rsidR="00A03C29">
        <w:rPr>
          <w:rFonts w:ascii="Times New Roman" w:hAnsi="Times New Roman" w:cs="Times New Roman"/>
          <w:sz w:val="24"/>
          <w:szCs w:val="24"/>
          <w:lang w:val="en-GB"/>
        </w:rPr>
        <w:t>argued</w:t>
      </w:r>
      <w:r w:rsidR="0019015D">
        <w:rPr>
          <w:rFonts w:ascii="Times New Roman" w:hAnsi="Times New Roman" w:cs="Times New Roman"/>
          <w:sz w:val="24"/>
          <w:szCs w:val="24"/>
          <w:lang w:val="en-GB"/>
        </w:rPr>
        <w:t xml:space="preserve"> that </w:t>
      </w:r>
      <w:r w:rsidR="004045D7">
        <w:rPr>
          <w:rFonts w:ascii="Times New Roman" w:hAnsi="Times New Roman" w:cs="Times New Roman"/>
          <w:sz w:val="24"/>
          <w:szCs w:val="24"/>
          <w:lang w:val="en-GB"/>
        </w:rPr>
        <w:t xml:space="preserve">if wages in the </w:t>
      </w:r>
      <w:r w:rsidR="008B3895">
        <w:rPr>
          <w:rFonts w:ascii="Times New Roman" w:hAnsi="Times New Roman" w:cs="Times New Roman"/>
          <w:sz w:val="24"/>
          <w:szCs w:val="24"/>
          <w:lang w:val="en-GB"/>
        </w:rPr>
        <w:t>nontradables</w:t>
      </w:r>
      <w:r w:rsidR="004045D7">
        <w:rPr>
          <w:rFonts w:ascii="Times New Roman" w:hAnsi="Times New Roman" w:cs="Times New Roman"/>
          <w:sz w:val="24"/>
          <w:szCs w:val="24"/>
          <w:lang w:val="en-GB"/>
        </w:rPr>
        <w:t xml:space="preserve"> and public sectors f</w:t>
      </w:r>
      <w:r w:rsidR="00597D78">
        <w:rPr>
          <w:rFonts w:ascii="Times New Roman" w:hAnsi="Times New Roman" w:cs="Times New Roman"/>
          <w:sz w:val="24"/>
          <w:szCs w:val="24"/>
          <w:lang w:val="en-GB"/>
        </w:rPr>
        <w:t>ollow those in the tradables sector</w:t>
      </w:r>
      <w:r w:rsidR="0019015D">
        <w:rPr>
          <w:rFonts w:ascii="Times New Roman" w:hAnsi="Times New Roman" w:cs="Times New Roman"/>
          <w:sz w:val="24"/>
          <w:szCs w:val="24"/>
          <w:lang w:val="en-GB"/>
        </w:rPr>
        <w:t xml:space="preserve">, </w:t>
      </w:r>
      <w:r w:rsidR="00E034FF">
        <w:rPr>
          <w:rFonts w:ascii="Times New Roman" w:hAnsi="Times New Roman" w:cs="Times New Roman"/>
          <w:sz w:val="24"/>
          <w:szCs w:val="24"/>
          <w:lang w:val="en-GB"/>
        </w:rPr>
        <w:t xml:space="preserve">all sectors </w:t>
      </w:r>
      <w:r w:rsidR="00A03C29">
        <w:rPr>
          <w:rFonts w:ascii="Times New Roman" w:hAnsi="Times New Roman" w:cs="Times New Roman"/>
          <w:sz w:val="24"/>
          <w:szCs w:val="24"/>
          <w:lang w:val="en-GB"/>
        </w:rPr>
        <w:t>are</w:t>
      </w:r>
      <w:r w:rsidR="00E034FF">
        <w:rPr>
          <w:rFonts w:ascii="Times New Roman" w:hAnsi="Times New Roman" w:cs="Times New Roman"/>
          <w:sz w:val="24"/>
          <w:szCs w:val="24"/>
          <w:lang w:val="en-GB"/>
        </w:rPr>
        <w:t xml:space="preserve"> assured of </w:t>
      </w:r>
      <w:r w:rsidR="002033EF">
        <w:rPr>
          <w:rFonts w:ascii="Times New Roman" w:hAnsi="Times New Roman" w:cs="Times New Roman"/>
          <w:sz w:val="24"/>
          <w:szCs w:val="24"/>
          <w:lang w:val="en-GB"/>
        </w:rPr>
        <w:t xml:space="preserve">labour supply and conflicts over relative wage changes </w:t>
      </w:r>
      <w:r w:rsidR="006B56A1">
        <w:rPr>
          <w:rFonts w:ascii="Times New Roman" w:hAnsi="Times New Roman" w:cs="Times New Roman"/>
          <w:sz w:val="24"/>
          <w:szCs w:val="24"/>
          <w:lang w:val="en-GB"/>
        </w:rPr>
        <w:t>mitigated</w:t>
      </w:r>
      <w:r w:rsidR="000E7D51">
        <w:rPr>
          <w:rFonts w:ascii="Times New Roman" w:hAnsi="Times New Roman" w:cs="Times New Roman"/>
          <w:sz w:val="24"/>
          <w:szCs w:val="24"/>
          <w:lang w:val="en-GB"/>
        </w:rPr>
        <w:t xml:space="preserve"> (</w:t>
      </w:r>
      <w:r w:rsidR="004B47F2">
        <w:rPr>
          <w:rFonts w:ascii="Times New Roman" w:hAnsi="Times New Roman" w:cs="Times New Roman"/>
          <w:sz w:val="24"/>
          <w:szCs w:val="24"/>
          <w:lang w:val="en-GB"/>
        </w:rPr>
        <w:t xml:space="preserve">e.g. </w:t>
      </w:r>
      <w:r w:rsidR="004B47F2" w:rsidRPr="00CE6F0B">
        <w:rPr>
          <w:rFonts w:ascii="Times New Roman" w:hAnsi="Times New Roman" w:cs="Times New Roman"/>
          <w:sz w:val="24"/>
          <w:szCs w:val="24"/>
          <w:lang w:val="en-GB"/>
        </w:rPr>
        <w:t>Andersen, 2023</w:t>
      </w:r>
      <w:r w:rsidR="00AF4933">
        <w:rPr>
          <w:rFonts w:ascii="Times New Roman" w:hAnsi="Times New Roman" w:cs="Times New Roman"/>
          <w:sz w:val="24"/>
          <w:szCs w:val="24"/>
          <w:lang w:val="en-GB"/>
        </w:rPr>
        <w:t>;</w:t>
      </w:r>
      <w:r w:rsidR="00CE6F0B" w:rsidRPr="00CE6F0B">
        <w:rPr>
          <w:rFonts w:ascii="Times New Roman" w:hAnsi="Times New Roman" w:cs="Times New Roman"/>
          <w:sz w:val="24"/>
          <w:szCs w:val="24"/>
          <w:lang w:val="en-GB"/>
        </w:rPr>
        <w:t xml:space="preserve"> </w:t>
      </w:r>
      <w:r w:rsidR="004B47F2" w:rsidRPr="00CE6F0B">
        <w:rPr>
          <w:rFonts w:ascii="Times New Roman" w:hAnsi="Times New Roman" w:cs="Times New Roman"/>
          <w:sz w:val="24"/>
          <w:szCs w:val="24"/>
          <w:lang w:val="en-GB"/>
        </w:rPr>
        <w:t>Holden IV-utvalget, 2023; Lønstrukturkomitéen</w:t>
      </w:r>
      <w:r w:rsidR="00A16AB1">
        <w:rPr>
          <w:rFonts w:ascii="Times New Roman" w:hAnsi="Times New Roman" w:cs="Times New Roman"/>
          <w:sz w:val="24"/>
          <w:szCs w:val="24"/>
          <w:lang w:val="en-GB"/>
        </w:rPr>
        <w:t>,</w:t>
      </w:r>
      <w:r w:rsidR="004B47F2" w:rsidRPr="00CE6F0B">
        <w:rPr>
          <w:rFonts w:ascii="Times New Roman" w:hAnsi="Times New Roman" w:cs="Times New Roman"/>
          <w:sz w:val="24"/>
          <w:szCs w:val="24"/>
          <w:lang w:val="en-GB"/>
        </w:rPr>
        <w:t xml:space="preserve"> 2023).</w:t>
      </w:r>
    </w:p>
    <w:p w14:paraId="45EAB1E4" w14:textId="38F280E0" w:rsidR="004130FE" w:rsidRDefault="00E96497" w:rsidP="00CE6F0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Since p</w:t>
      </w:r>
      <w:r w:rsidR="007705A7">
        <w:rPr>
          <w:rFonts w:ascii="Times New Roman" w:hAnsi="Times New Roman" w:cs="Times New Roman"/>
          <w:sz w:val="24"/>
          <w:szCs w:val="24"/>
          <w:lang w:val="en-GB"/>
        </w:rPr>
        <w:t xml:space="preserve">roductivity growth varies </w:t>
      </w:r>
      <w:r w:rsidR="00AF4933">
        <w:rPr>
          <w:rFonts w:ascii="Times New Roman" w:hAnsi="Times New Roman" w:cs="Times New Roman"/>
          <w:sz w:val="24"/>
          <w:szCs w:val="24"/>
          <w:lang w:val="en-GB"/>
        </w:rPr>
        <w:t>much</w:t>
      </w:r>
      <w:r w:rsidR="007705A7">
        <w:rPr>
          <w:rFonts w:ascii="Times New Roman" w:hAnsi="Times New Roman" w:cs="Times New Roman"/>
          <w:sz w:val="24"/>
          <w:szCs w:val="24"/>
          <w:lang w:val="en-GB"/>
        </w:rPr>
        <w:t xml:space="preserve"> over the business cycle</w:t>
      </w:r>
      <w:r>
        <w:rPr>
          <w:rFonts w:ascii="Times New Roman" w:hAnsi="Times New Roman" w:cs="Times New Roman"/>
          <w:sz w:val="24"/>
          <w:szCs w:val="24"/>
          <w:lang w:val="en-GB"/>
        </w:rPr>
        <w:t>,</w:t>
      </w:r>
      <w:r w:rsidR="007705A7">
        <w:rPr>
          <w:rFonts w:ascii="Times New Roman" w:hAnsi="Times New Roman" w:cs="Times New Roman"/>
          <w:sz w:val="24"/>
          <w:szCs w:val="24"/>
          <w:lang w:val="en-GB"/>
        </w:rPr>
        <w:t xml:space="preserve"> </w:t>
      </w:r>
      <w:r w:rsidR="007943C8">
        <w:rPr>
          <w:rFonts w:ascii="Times New Roman" w:hAnsi="Times New Roman" w:cs="Times New Roman"/>
          <w:sz w:val="24"/>
          <w:szCs w:val="24"/>
          <w:lang w:val="en-GB"/>
        </w:rPr>
        <w:t xml:space="preserve">wage </w:t>
      </w:r>
      <w:r w:rsidR="00AF086C">
        <w:rPr>
          <w:rFonts w:ascii="Times New Roman" w:hAnsi="Times New Roman" w:cs="Times New Roman"/>
          <w:sz w:val="24"/>
          <w:szCs w:val="24"/>
          <w:lang w:val="en-GB"/>
        </w:rPr>
        <w:t>increases</w:t>
      </w:r>
      <w:r w:rsidR="007943C8">
        <w:rPr>
          <w:rFonts w:ascii="Times New Roman" w:hAnsi="Times New Roman" w:cs="Times New Roman"/>
          <w:sz w:val="24"/>
          <w:szCs w:val="24"/>
          <w:lang w:val="en-GB"/>
        </w:rPr>
        <w:t xml:space="preserve"> would be very volatile if they </w:t>
      </w:r>
      <w:r w:rsidR="00A16AB1">
        <w:rPr>
          <w:rFonts w:ascii="Times New Roman" w:hAnsi="Times New Roman" w:cs="Times New Roman"/>
          <w:sz w:val="24"/>
          <w:szCs w:val="24"/>
          <w:lang w:val="en-GB"/>
        </w:rPr>
        <w:t>adjust to</w:t>
      </w:r>
      <w:r w:rsidR="00AF086C">
        <w:rPr>
          <w:rFonts w:ascii="Times New Roman" w:hAnsi="Times New Roman" w:cs="Times New Roman"/>
          <w:sz w:val="24"/>
          <w:szCs w:val="24"/>
          <w:lang w:val="en-GB"/>
        </w:rPr>
        <w:t xml:space="preserve"> </w:t>
      </w:r>
      <w:r w:rsidR="00AF086C" w:rsidRPr="00AF086C">
        <w:rPr>
          <w:rFonts w:ascii="Times New Roman" w:hAnsi="Times New Roman" w:cs="Times New Roman"/>
          <w:i/>
          <w:iCs/>
          <w:sz w:val="24"/>
          <w:szCs w:val="24"/>
          <w:lang w:val="en-GB"/>
        </w:rPr>
        <w:t>actual</w:t>
      </w:r>
      <w:r w:rsidR="00AF086C">
        <w:rPr>
          <w:rFonts w:ascii="Times New Roman" w:hAnsi="Times New Roman" w:cs="Times New Roman"/>
          <w:sz w:val="24"/>
          <w:szCs w:val="24"/>
          <w:lang w:val="en-GB"/>
        </w:rPr>
        <w:t xml:space="preserve"> productivity growth in the short term. </w:t>
      </w:r>
      <w:r w:rsidR="001B19C4">
        <w:rPr>
          <w:rFonts w:ascii="Times New Roman" w:hAnsi="Times New Roman" w:cs="Times New Roman"/>
          <w:sz w:val="24"/>
          <w:szCs w:val="24"/>
          <w:lang w:val="en-GB"/>
        </w:rPr>
        <w:t>T</w:t>
      </w:r>
      <w:r w:rsidR="008D174A">
        <w:rPr>
          <w:rFonts w:ascii="Times New Roman" w:hAnsi="Times New Roman" w:cs="Times New Roman"/>
          <w:sz w:val="24"/>
          <w:szCs w:val="24"/>
          <w:lang w:val="en-GB"/>
        </w:rPr>
        <w:t>her</w:t>
      </w:r>
      <w:r w:rsidR="001B19C4">
        <w:rPr>
          <w:rFonts w:ascii="Times New Roman" w:hAnsi="Times New Roman" w:cs="Times New Roman"/>
          <w:sz w:val="24"/>
          <w:szCs w:val="24"/>
          <w:lang w:val="en-GB"/>
        </w:rPr>
        <w:t xml:space="preserve">efore, </w:t>
      </w:r>
      <w:r w:rsidR="00BA6543">
        <w:rPr>
          <w:rFonts w:ascii="Times New Roman" w:hAnsi="Times New Roman" w:cs="Times New Roman"/>
          <w:sz w:val="24"/>
          <w:szCs w:val="24"/>
          <w:lang w:val="en-GB"/>
        </w:rPr>
        <w:t xml:space="preserve">it has become customary </w:t>
      </w:r>
      <w:r w:rsidR="006128BA">
        <w:rPr>
          <w:rFonts w:ascii="Times New Roman" w:hAnsi="Times New Roman" w:cs="Times New Roman"/>
          <w:sz w:val="24"/>
          <w:szCs w:val="24"/>
          <w:lang w:val="en-GB"/>
        </w:rPr>
        <w:t xml:space="preserve">instead to </w:t>
      </w:r>
      <w:r w:rsidR="00253A9A">
        <w:rPr>
          <w:rFonts w:ascii="Times New Roman" w:hAnsi="Times New Roman" w:cs="Times New Roman"/>
          <w:sz w:val="24"/>
          <w:szCs w:val="24"/>
          <w:lang w:val="en-GB"/>
        </w:rPr>
        <w:t xml:space="preserve">base </w:t>
      </w:r>
      <w:r w:rsidR="000E469B">
        <w:rPr>
          <w:rFonts w:ascii="Times New Roman" w:hAnsi="Times New Roman" w:cs="Times New Roman"/>
          <w:sz w:val="24"/>
          <w:szCs w:val="24"/>
          <w:lang w:val="en-GB"/>
        </w:rPr>
        <w:t xml:space="preserve">the </w:t>
      </w:r>
      <w:r w:rsidR="003442F3">
        <w:rPr>
          <w:rFonts w:ascii="Times New Roman" w:hAnsi="Times New Roman" w:cs="Times New Roman"/>
          <w:sz w:val="24"/>
          <w:szCs w:val="24"/>
          <w:lang w:val="en-GB"/>
        </w:rPr>
        <w:t xml:space="preserve">wage norm </w:t>
      </w:r>
      <w:r w:rsidR="00D44FB8">
        <w:rPr>
          <w:rFonts w:ascii="Times New Roman" w:hAnsi="Times New Roman" w:cs="Times New Roman"/>
          <w:sz w:val="24"/>
          <w:szCs w:val="24"/>
          <w:lang w:val="en-GB"/>
        </w:rPr>
        <w:t>according to</w:t>
      </w:r>
      <w:r w:rsidR="003442F3">
        <w:rPr>
          <w:rFonts w:ascii="Times New Roman" w:hAnsi="Times New Roman" w:cs="Times New Roman"/>
          <w:sz w:val="24"/>
          <w:szCs w:val="24"/>
          <w:lang w:val="en-GB"/>
        </w:rPr>
        <w:t xml:space="preserve"> the Scandinavian model on </w:t>
      </w:r>
      <w:r w:rsidR="00293A4C">
        <w:rPr>
          <w:rFonts w:ascii="Times New Roman" w:hAnsi="Times New Roman" w:cs="Times New Roman"/>
          <w:sz w:val="24"/>
          <w:szCs w:val="24"/>
          <w:lang w:val="en-GB"/>
        </w:rPr>
        <w:t xml:space="preserve">assessments of </w:t>
      </w:r>
      <w:r w:rsidR="00293A4C" w:rsidRPr="00C63BC0">
        <w:rPr>
          <w:rFonts w:ascii="Times New Roman" w:hAnsi="Times New Roman" w:cs="Times New Roman"/>
          <w:i/>
          <w:iCs/>
          <w:sz w:val="24"/>
          <w:szCs w:val="24"/>
          <w:lang w:val="en-GB"/>
        </w:rPr>
        <w:t>potential</w:t>
      </w:r>
      <w:r w:rsidR="00293A4C">
        <w:rPr>
          <w:rFonts w:ascii="Times New Roman" w:hAnsi="Times New Roman" w:cs="Times New Roman"/>
          <w:sz w:val="24"/>
          <w:szCs w:val="24"/>
          <w:lang w:val="en-GB"/>
        </w:rPr>
        <w:t xml:space="preserve"> productivity growth</w:t>
      </w:r>
      <w:r w:rsidR="00A32ACB">
        <w:rPr>
          <w:rFonts w:ascii="Times New Roman" w:hAnsi="Times New Roman" w:cs="Times New Roman"/>
          <w:sz w:val="24"/>
          <w:szCs w:val="24"/>
          <w:lang w:val="en-GB"/>
        </w:rPr>
        <w:t xml:space="preserve">, which </w:t>
      </w:r>
      <w:r w:rsidR="008A4004">
        <w:rPr>
          <w:rFonts w:ascii="Times New Roman" w:hAnsi="Times New Roman" w:cs="Times New Roman"/>
          <w:sz w:val="24"/>
          <w:szCs w:val="24"/>
          <w:lang w:val="en-GB"/>
        </w:rPr>
        <w:t>is</w:t>
      </w:r>
      <w:r w:rsidR="00A32ACB">
        <w:rPr>
          <w:rFonts w:ascii="Times New Roman" w:hAnsi="Times New Roman" w:cs="Times New Roman"/>
          <w:sz w:val="24"/>
          <w:szCs w:val="24"/>
          <w:lang w:val="en-GB"/>
        </w:rPr>
        <w:t xml:space="preserve"> then</w:t>
      </w:r>
      <w:r w:rsidR="008A4004">
        <w:rPr>
          <w:rFonts w:ascii="Times New Roman" w:hAnsi="Times New Roman" w:cs="Times New Roman"/>
          <w:sz w:val="24"/>
          <w:szCs w:val="24"/>
          <w:lang w:val="en-GB"/>
        </w:rPr>
        <w:t xml:space="preserve"> </w:t>
      </w:r>
      <w:r w:rsidR="008E4A36">
        <w:rPr>
          <w:rFonts w:ascii="Times New Roman" w:hAnsi="Times New Roman" w:cs="Times New Roman"/>
          <w:sz w:val="24"/>
          <w:szCs w:val="24"/>
          <w:lang w:val="en-GB"/>
        </w:rPr>
        <w:t>taken as e</w:t>
      </w:r>
      <w:r w:rsidR="008F6E6F">
        <w:rPr>
          <w:rFonts w:ascii="Times New Roman" w:hAnsi="Times New Roman" w:cs="Times New Roman"/>
          <w:sz w:val="24"/>
          <w:szCs w:val="24"/>
          <w:lang w:val="en-GB"/>
        </w:rPr>
        <w:t xml:space="preserve">xogenous. This is, however, potentially problematic, </w:t>
      </w:r>
      <w:r w:rsidR="00E64D57">
        <w:rPr>
          <w:rFonts w:ascii="Times New Roman" w:hAnsi="Times New Roman" w:cs="Times New Roman"/>
          <w:sz w:val="24"/>
          <w:szCs w:val="24"/>
          <w:lang w:val="en-GB"/>
        </w:rPr>
        <w:t>as hig</w:t>
      </w:r>
      <w:r w:rsidR="008D174A">
        <w:rPr>
          <w:rFonts w:ascii="Times New Roman" w:hAnsi="Times New Roman" w:cs="Times New Roman"/>
          <w:sz w:val="24"/>
          <w:szCs w:val="24"/>
          <w:lang w:val="en-GB"/>
        </w:rPr>
        <w:t>her</w:t>
      </w:r>
      <w:r w:rsidR="00E64D57">
        <w:rPr>
          <w:rFonts w:ascii="Times New Roman" w:hAnsi="Times New Roman" w:cs="Times New Roman"/>
          <w:sz w:val="24"/>
          <w:szCs w:val="24"/>
          <w:lang w:val="en-GB"/>
        </w:rPr>
        <w:t xml:space="preserve"> wage increases</w:t>
      </w:r>
      <w:r w:rsidR="00236EAF">
        <w:rPr>
          <w:rFonts w:ascii="Times New Roman" w:hAnsi="Times New Roman" w:cs="Times New Roman"/>
          <w:sz w:val="24"/>
          <w:szCs w:val="24"/>
          <w:lang w:val="en-GB"/>
        </w:rPr>
        <w:t xml:space="preserve"> </w:t>
      </w:r>
      <w:r w:rsidR="00286046">
        <w:rPr>
          <w:rFonts w:ascii="Times New Roman" w:hAnsi="Times New Roman" w:cs="Times New Roman"/>
          <w:sz w:val="24"/>
          <w:szCs w:val="24"/>
          <w:lang w:val="en-GB"/>
        </w:rPr>
        <w:t>tend</w:t>
      </w:r>
      <w:r w:rsidR="00142CA1">
        <w:rPr>
          <w:rFonts w:ascii="Times New Roman" w:hAnsi="Times New Roman" w:cs="Times New Roman"/>
          <w:sz w:val="24"/>
          <w:szCs w:val="24"/>
          <w:lang w:val="en-GB"/>
        </w:rPr>
        <w:t xml:space="preserve"> </w:t>
      </w:r>
      <w:r w:rsidR="00E47E46">
        <w:rPr>
          <w:rFonts w:ascii="Times New Roman" w:hAnsi="Times New Roman" w:cs="Times New Roman"/>
          <w:sz w:val="24"/>
          <w:szCs w:val="24"/>
          <w:lang w:val="en-GB"/>
        </w:rPr>
        <w:t xml:space="preserve">to </w:t>
      </w:r>
      <w:r w:rsidR="00C30603">
        <w:rPr>
          <w:rFonts w:ascii="Times New Roman" w:hAnsi="Times New Roman" w:cs="Times New Roman"/>
          <w:sz w:val="24"/>
          <w:szCs w:val="24"/>
          <w:lang w:val="en-GB"/>
        </w:rPr>
        <w:t xml:space="preserve">raise productivity growth by </w:t>
      </w:r>
      <w:r w:rsidR="0072597B">
        <w:rPr>
          <w:rFonts w:ascii="Times New Roman" w:hAnsi="Times New Roman" w:cs="Times New Roman"/>
          <w:sz w:val="24"/>
          <w:szCs w:val="24"/>
          <w:lang w:val="en-GB"/>
        </w:rPr>
        <w:t xml:space="preserve">increasing the </w:t>
      </w:r>
      <w:r w:rsidR="00B16E5B">
        <w:rPr>
          <w:rFonts w:ascii="Times New Roman" w:hAnsi="Times New Roman" w:cs="Times New Roman"/>
          <w:sz w:val="24"/>
          <w:szCs w:val="24"/>
          <w:lang w:val="en-GB"/>
        </w:rPr>
        <w:lastRenderedPageBreak/>
        <w:t>capital-labour ratio in production</w:t>
      </w:r>
      <w:r w:rsidR="00A80D6E">
        <w:rPr>
          <w:rFonts w:ascii="Times New Roman" w:hAnsi="Times New Roman" w:cs="Times New Roman"/>
          <w:sz w:val="24"/>
          <w:szCs w:val="24"/>
          <w:lang w:val="en-GB"/>
        </w:rPr>
        <w:t>.</w:t>
      </w:r>
      <w:r w:rsidR="008163A0">
        <w:rPr>
          <w:rStyle w:val="FootnoteReference"/>
          <w:rFonts w:ascii="Times New Roman" w:hAnsi="Times New Roman" w:cs="Times New Roman"/>
          <w:sz w:val="24"/>
          <w:szCs w:val="24"/>
          <w:lang w:val="en-GB"/>
        </w:rPr>
        <w:footnoteReference w:id="14"/>
      </w:r>
      <w:r w:rsidR="00A80D6E">
        <w:rPr>
          <w:rFonts w:ascii="Times New Roman" w:hAnsi="Times New Roman" w:cs="Times New Roman"/>
          <w:sz w:val="24"/>
          <w:szCs w:val="24"/>
          <w:lang w:val="en-GB"/>
        </w:rPr>
        <w:t xml:space="preserve"> </w:t>
      </w:r>
      <w:r w:rsidR="00FA4D3E">
        <w:rPr>
          <w:rFonts w:ascii="Times New Roman" w:hAnsi="Times New Roman" w:cs="Times New Roman"/>
          <w:sz w:val="24"/>
          <w:szCs w:val="24"/>
          <w:lang w:val="en-GB"/>
        </w:rPr>
        <w:t>This</w:t>
      </w:r>
      <w:r w:rsidR="00A80D6E">
        <w:rPr>
          <w:rFonts w:ascii="Times New Roman" w:hAnsi="Times New Roman" w:cs="Times New Roman"/>
          <w:sz w:val="24"/>
          <w:szCs w:val="24"/>
          <w:lang w:val="en-GB"/>
        </w:rPr>
        <w:t xml:space="preserve"> </w:t>
      </w:r>
      <w:r w:rsidR="002C1E83">
        <w:rPr>
          <w:rFonts w:ascii="Times New Roman" w:hAnsi="Times New Roman" w:cs="Times New Roman"/>
          <w:sz w:val="24"/>
          <w:szCs w:val="24"/>
          <w:lang w:val="en-GB"/>
        </w:rPr>
        <w:t xml:space="preserve">endogeneity problem of productivity growth is seldom discussed when </w:t>
      </w:r>
      <w:r w:rsidR="00195EC0">
        <w:rPr>
          <w:rFonts w:ascii="Times New Roman" w:hAnsi="Times New Roman" w:cs="Times New Roman"/>
          <w:sz w:val="24"/>
          <w:szCs w:val="24"/>
          <w:lang w:val="en-GB"/>
        </w:rPr>
        <w:t>the Scandinavian model is used as a wage norm.</w:t>
      </w:r>
      <w:r w:rsidR="00BE0343">
        <w:rPr>
          <w:rFonts w:ascii="Times New Roman" w:hAnsi="Times New Roman" w:cs="Times New Roman"/>
          <w:sz w:val="24"/>
          <w:szCs w:val="24"/>
          <w:lang w:val="en-GB"/>
        </w:rPr>
        <w:t xml:space="preserve"> </w:t>
      </w:r>
    </w:p>
    <w:p w14:paraId="24712A03" w14:textId="425C75B2" w:rsidR="008F6A9A" w:rsidRDefault="00042DAA" w:rsidP="00CE6F0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Anot</w:t>
      </w:r>
      <w:r w:rsidR="008D174A">
        <w:rPr>
          <w:rFonts w:ascii="Times New Roman" w:hAnsi="Times New Roman" w:cs="Times New Roman"/>
          <w:sz w:val="24"/>
          <w:szCs w:val="24"/>
          <w:lang w:val="en-GB"/>
        </w:rPr>
        <w:t>her</w:t>
      </w:r>
      <w:r>
        <w:rPr>
          <w:rFonts w:ascii="Times New Roman" w:hAnsi="Times New Roman" w:cs="Times New Roman"/>
          <w:sz w:val="24"/>
          <w:szCs w:val="24"/>
          <w:lang w:val="en-GB"/>
        </w:rPr>
        <w:t xml:space="preserve"> </w:t>
      </w:r>
      <w:r w:rsidR="004D3549">
        <w:rPr>
          <w:rFonts w:ascii="Times New Roman" w:hAnsi="Times New Roman" w:cs="Times New Roman"/>
          <w:sz w:val="24"/>
          <w:szCs w:val="24"/>
          <w:lang w:val="en-GB"/>
        </w:rPr>
        <w:t xml:space="preserve">problem </w:t>
      </w:r>
      <w:r w:rsidR="00AB792B">
        <w:rPr>
          <w:rFonts w:ascii="Times New Roman" w:hAnsi="Times New Roman" w:cs="Times New Roman"/>
          <w:sz w:val="24"/>
          <w:szCs w:val="24"/>
          <w:lang w:val="en-GB"/>
        </w:rPr>
        <w:t>concerns</w:t>
      </w:r>
      <w:r w:rsidR="004D3549">
        <w:rPr>
          <w:rFonts w:ascii="Times New Roman" w:hAnsi="Times New Roman" w:cs="Times New Roman"/>
          <w:sz w:val="24"/>
          <w:szCs w:val="24"/>
          <w:lang w:val="en-GB"/>
        </w:rPr>
        <w:t xml:space="preserve"> the exchange rate system. The Scandinavian model was developed </w:t>
      </w:r>
      <w:r w:rsidR="00343647">
        <w:rPr>
          <w:rFonts w:ascii="Times New Roman" w:hAnsi="Times New Roman" w:cs="Times New Roman"/>
          <w:sz w:val="24"/>
          <w:szCs w:val="24"/>
          <w:lang w:val="en-GB"/>
        </w:rPr>
        <w:t xml:space="preserve">for economies with fixed exchange </w:t>
      </w:r>
      <w:r w:rsidR="000F2B70">
        <w:rPr>
          <w:rFonts w:ascii="Times New Roman" w:hAnsi="Times New Roman" w:cs="Times New Roman"/>
          <w:sz w:val="24"/>
          <w:szCs w:val="24"/>
          <w:lang w:val="en-GB"/>
        </w:rPr>
        <w:t>rates</w:t>
      </w:r>
      <w:r w:rsidR="00C10B7E">
        <w:rPr>
          <w:rFonts w:ascii="Times New Roman" w:hAnsi="Times New Roman" w:cs="Times New Roman"/>
          <w:sz w:val="24"/>
          <w:szCs w:val="24"/>
          <w:lang w:val="en-GB"/>
        </w:rPr>
        <w:t>, which</w:t>
      </w:r>
      <w:r w:rsidR="006B1DC1">
        <w:rPr>
          <w:rFonts w:ascii="Times New Roman" w:hAnsi="Times New Roman" w:cs="Times New Roman"/>
          <w:sz w:val="24"/>
          <w:szCs w:val="24"/>
          <w:lang w:val="en-GB"/>
        </w:rPr>
        <w:t xml:space="preserve"> </w:t>
      </w:r>
      <w:r w:rsidR="0038143C">
        <w:rPr>
          <w:rFonts w:ascii="Times New Roman" w:hAnsi="Times New Roman" w:cs="Times New Roman"/>
          <w:sz w:val="24"/>
          <w:szCs w:val="24"/>
          <w:lang w:val="en-GB"/>
        </w:rPr>
        <w:t>all the Nordic countries</w:t>
      </w:r>
      <w:r w:rsidR="009A4971">
        <w:rPr>
          <w:rFonts w:ascii="Times New Roman" w:hAnsi="Times New Roman" w:cs="Times New Roman"/>
          <w:sz w:val="24"/>
          <w:szCs w:val="24"/>
          <w:lang w:val="en-GB"/>
        </w:rPr>
        <w:t xml:space="preserve"> earlier</w:t>
      </w:r>
      <w:r w:rsidR="00363D91">
        <w:rPr>
          <w:rFonts w:ascii="Times New Roman" w:hAnsi="Times New Roman" w:cs="Times New Roman"/>
          <w:sz w:val="24"/>
          <w:szCs w:val="24"/>
          <w:lang w:val="en-GB"/>
        </w:rPr>
        <w:t xml:space="preserve"> </w:t>
      </w:r>
      <w:r w:rsidR="00806905">
        <w:rPr>
          <w:rFonts w:ascii="Times New Roman" w:hAnsi="Times New Roman" w:cs="Times New Roman"/>
          <w:sz w:val="24"/>
          <w:szCs w:val="24"/>
          <w:lang w:val="en-GB"/>
        </w:rPr>
        <w:t>tried to maintain (al</w:t>
      </w:r>
      <w:r w:rsidR="00757C64">
        <w:rPr>
          <w:rFonts w:ascii="Times New Roman" w:hAnsi="Times New Roman" w:cs="Times New Roman"/>
          <w:sz w:val="24"/>
          <w:szCs w:val="24"/>
          <w:lang w:val="en-GB"/>
        </w:rPr>
        <w:t>t</w:t>
      </w:r>
      <w:r w:rsidR="00806905">
        <w:rPr>
          <w:rFonts w:ascii="Times New Roman" w:hAnsi="Times New Roman" w:cs="Times New Roman"/>
          <w:sz w:val="24"/>
          <w:szCs w:val="24"/>
          <w:lang w:val="en-GB"/>
        </w:rPr>
        <w:t>hough t</w:t>
      </w:r>
      <w:r w:rsidR="008D174A">
        <w:rPr>
          <w:rFonts w:ascii="Times New Roman" w:hAnsi="Times New Roman" w:cs="Times New Roman"/>
          <w:sz w:val="24"/>
          <w:szCs w:val="24"/>
          <w:lang w:val="en-GB"/>
        </w:rPr>
        <w:t>her</w:t>
      </w:r>
      <w:r w:rsidR="00806905">
        <w:rPr>
          <w:rFonts w:ascii="Times New Roman" w:hAnsi="Times New Roman" w:cs="Times New Roman"/>
          <w:sz w:val="24"/>
          <w:szCs w:val="24"/>
          <w:lang w:val="en-GB"/>
        </w:rPr>
        <w:t xml:space="preserve">e were </w:t>
      </w:r>
      <w:r w:rsidR="0043200C">
        <w:rPr>
          <w:rFonts w:ascii="Times New Roman" w:hAnsi="Times New Roman" w:cs="Times New Roman"/>
          <w:sz w:val="24"/>
          <w:szCs w:val="24"/>
          <w:lang w:val="en-GB"/>
        </w:rPr>
        <w:t>devaluations from time to time</w:t>
      </w:r>
      <w:r w:rsidR="00A52C24">
        <w:rPr>
          <w:rFonts w:ascii="Times New Roman" w:hAnsi="Times New Roman" w:cs="Times New Roman"/>
          <w:sz w:val="24"/>
          <w:szCs w:val="24"/>
          <w:lang w:val="en-GB"/>
        </w:rPr>
        <w:t xml:space="preserve">). </w:t>
      </w:r>
      <w:r w:rsidR="00C44299">
        <w:rPr>
          <w:rFonts w:ascii="Times New Roman" w:hAnsi="Times New Roman" w:cs="Times New Roman"/>
          <w:sz w:val="24"/>
          <w:szCs w:val="24"/>
          <w:lang w:val="en-GB"/>
        </w:rPr>
        <w:t>Then</w:t>
      </w:r>
      <w:r w:rsidR="00897270">
        <w:rPr>
          <w:rFonts w:ascii="Times New Roman" w:hAnsi="Times New Roman" w:cs="Times New Roman"/>
          <w:sz w:val="24"/>
          <w:szCs w:val="24"/>
          <w:lang w:val="en-GB"/>
        </w:rPr>
        <w:t>,</w:t>
      </w:r>
      <w:r w:rsidR="00376AC7">
        <w:rPr>
          <w:rFonts w:ascii="Times New Roman" w:hAnsi="Times New Roman" w:cs="Times New Roman"/>
          <w:sz w:val="24"/>
          <w:szCs w:val="24"/>
          <w:lang w:val="en-GB"/>
        </w:rPr>
        <w:t xml:space="preserve"> anticipated</w:t>
      </w:r>
      <w:r w:rsidR="00C44299">
        <w:rPr>
          <w:rFonts w:ascii="Times New Roman" w:hAnsi="Times New Roman" w:cs="Times New Roman"/>
          <w:sz w:val="24"/>
          <w:szCs w:val="24"/>
          <w:lang w:val="en-GB"/>
        </w:rPr>
        <w:t xml:space="preserve"> foreign price increases for tradables</w:t>
      </w:r>
      <w:r w:rsidR="006A27DC">
        <w:rPr>
          <w:rFonts w:ascii="Times New Roman" w:hAnsi="Times New Roman" w:cs="Times New Roman"/>
          <w:sz w:val="24"/>
          <w:szCs w:val="24"/>
          <w:lang w:val="en-GB"/>
        </w:rPr>
        <w:t xml:space="preserve"> serve</w:t>
      </w:r>
      <w:r w:rsidR="00017B0F">
        <w:rPr>
          <w:rFonts w:ascii="Times New Roman" w:hAnsi="Times New Roman" w:cs="Times New Roman"/>
          <w:sz w:val="24"/>
          <w:szCs w:val="24"/>
          <w:lang w:val="en-GB"/>
        </w:rPr>
        <w:t>d</w:t>
      </w:r>
      <w:r w:rsidR="006A27DC">
        <w:rPr>
          <w:rFonts w:ascii="Times New Roman" w:hAnsi="Times New Roman" w:cs="Times New Roman"/>
          <w:sz w:val="24"/>
          <w:szCs w:val="24"/>
          <w:lang w:val="en-GB"/>
        </w:rPr>
        <w:t xml:space="preserve"> as </w:t>
      </w:r>
      <w:r w:rsidR="00897270">
        <w:rPr>
          <w:rFonts w:ascii="Times New Roman" w:hAnsi="Times New Roman" w:cs="Times New Roman"/>
          <w:sz w:val="24"/>
          <w:szCs w:val="24"/>
          <w:lang w:val="en-GB"/>
        </w:rPr>
        <w:t xml:space="preserve">a </w:t>
      </w:r>
      <w:r w:rsidR="006A27DC">
        <w:rPr>
          <w:rFonts w:ascii="Times New Roman" w:hAnsi="Times New Roman" w:cs="Times New Roman"/>
          <w:sz w:val="24"/>
          <w:szCs w:val="24"/>
          <w:lang w:val="en-GB"/>
        </w:rPr>
        <w:t xml:space="preserve">good </w:t>
      </w:r>
      <w:r w:rsidR="004B1FC7">
        <w:rPr>
          <w:rFonts w:ascii="Times New Roman" w:hAnsi="Times New Roman" w:cs="Times New Roman"/>
          <w:sz w:val="24"/>
          <w:szCs w:val="24"/>
          <w:lang w:val="en-GB"/>
        </w:rPr>
        <w:t>predictor</w:t>
      </w:r>
      <w:r w:rsidR="004607F9">
        <w:rPr>
          <w:rFonts w:ascii="Times New Roman" w:hAnsi="Times New Roman" w:cs="Times New Roman"/>
          <w:sz w:val="24"/>
          <w:szCs w:val="24"/>
          <w:lang w:val="en-GB"/>
        </w:rPr>
        <w:t xml:space="preserve"> of price increases for tradables</w:t>
      </w:r>
      <w:r w:rsidR="00943E0A">
        <w:rPr>
          <w:rFonts w:ascii="Times New Roman" w:hAnsi="Times New Roman" w:cs="Times New Roman"/>
          <w:sz w:val="24"/>
          <w:szCs w:val="24"/>
          <w:lang w:val="en-GB"/>
        </w:rPr>
        <w:t xml:space="preserve"> in domestic currency</w:t>
      </w:r>
      <w:r w:rsidR="00301CCA">
        <w:rPr>
          <w:rFonts w:ascii="Times New Roman" w:hAnsi="Times New Roman" w:cs="Times New Roman"/>
          <w:sz w:val="24"/>
          <w:szCs w:val="24"/>
          <w:lang w:val="en-GB"/>
        </w:rPr>
        <w:t>.</w:t>
      </w:r>
      <w:r w:rsidR="00A608A1">
        <w:rPr>
          <w:rFonts w:ascii="Times New Roman" w:hAnsi="Times New Roman" w:cs="Times New Roman"/>
          <w:sz w:val="24"/>
          <w:szCs w:val="24"/>
          <w:lang w:val="en-GB"/>
        </w:rPr>
        <w:t xml:space="preserve"> This </w:t>
      </w:r>
      <w:r w:rsidR="00865585">
        <w:rPr>
          <w:rFonts w:ascii="Times New Roman" w:hAnsi="Times New Roman" w:cs="Times New Roman"/>
          <w:sz w:val="24"/>
          <w:szCs w:val="24"/>
          <w:lang w:val="en-GB"/>
        </w:rPr>
        <w:t xml:space="preserve">no longer </w:t>
      </w:r>
      <w:r w:rsidR="00376AC7">
        <w:rPr>
          <w:rFonts w:ascii="Times New Roman" w:hAnsi="Times New Roman" w:cs="Times New Roman"/>
          <w:sz w:val="24"/>
          <w:szCs w:val="24"/>
          <w:lang w:val="en-GB"/>
        </w:rPr>
        <w:t>holds</w:t>
      </w:r>
      <w:r w:rsidR="00865585">
        <w:rPr>
          <w:rFonts w:ascii="Times New Roman" w:hAnsi="Times New Roman" w:cs="Times New Roman"/>
          <w:sz w:val="24"/>
          <w:szCs w:val="24"/>
          <w:lang w:val="en-GB"/>
        </w:rPr>
        <w:t xml:space="preserve"> with a flexible exchange rate</w:t>
      </w:r>
      <w:r w:rsidR="004B280D">
        <w:rPr>
          <w:rFonts w:ascii="Times New Roman" w:hAnsi="Times New Roman" w:cs="Times New Roman"/>
          <w:sz w:val="24"/>
          <w:szCs w:val="24"/>
          <w:lang w:val="en-GB"/>
        </w:rPr>
        <w:t xml:space="preserve">. </w:t>
      </w:r>
      <w:r w:rsidR="006306D8">
        <w:rPr>
          <w:rFonts w:ascii="Times New Roman" w:hAnsi="Times New Roman" w:cs="Times New Roman"/>
          <w:sz w:val="24"/>
          <w:szCs w:val="24"/>
          <w:lang w:val="en-GB"/>
        </w:rPr>
        <w:t xml:space="preserve">A norm aiming at a constant </w:t>
      </w:r>
      <w:r w:rsidR="0096060E">
        <w:rPr>
          <w:rFonts w:ascii="Times New Roman" w:hAnsi="Times New Roman" w:cs="Times New Roman"/>
          <w:sz w:val="24"/>
          <w:szCs w:val="24"/>
          <w:lang w:val="en-GB"/>
        </w:rPr>
        <w:t>profit</w:t>
      </w:r>
      <w:r w:rsidR="00F00454">
        <w:rPr>
          <w:rFonts w:ascii="Times New Roman" w:hAnsi="Times New Roman" w:cs="Times New Roman"/>
          <w:sz w:val="24"/>
          <w:szCs w:val="24"/>
          <w:lang w:val="en-GB"/>
        </w:rPr>
        <w:t xml:space="preserve"> share in the tradables sector</w:t>
      </w:r>
      <w:r w:rsidR="002102C4">
        <w:rPr>
          <w:rFonts w:ascii="Times New Roman" w:hAnsi="Times New Roman" w:cs="Times New Roman"/>
          <w:sz w:val="24"/>
          <w:szCs w:val="24"/>
          <w:lang w:val="en-GB"/>
        </w:rPr>
        <w:t xml:space="preserve"> must then </w:t>
      </w:r>
      <w:r w:rsidR="00EE40A6">
        <w:rPr>
          <w:rFonts w:ascii="Times New Roman" w:hAnsi="Times New Roman" w:cs="Times New Roman"/>
          <w:sz w:val="24"/>
          <w:szCs w:val="24"/>
          <w:lang w:val="en-GB"/>
        </w:rPr>
        <w:t xml:space="preserve">also </w:t>
      </w:r>
      <w:r w:rsidR="002102C4">
        <w:rPr>
          <w:rFonts w:ascii="Times New Roman" w:hAnsi="Times New Roman" w:cs="Times New Roman"/>
          <w:sz w:val="24"/>
          <w:szCs w:val="24"/>
          <w:lang w:val="en-GB"/>
        </w:rPr>
        <w:t>take excha</w:t>
      </w:r>
      <w:r w:rsidR="0015493E">
        <w:rPr>
          <w:rFonts w:ascii="Times New Roman" w:hAnsi="Times New Roman" w:cs="Times New Roman"/>
          <w:sz w:val="24"/>
          <w:szCs w:val="24"/>
          <w:lang w:val="en-GB"/>
        </w:rPr>
        <w:t>nge rate changes into account</w:t>
      </w:r>
      <w:r w:rsidR="00943E0A">
        <w:rPr>
          <w:rFonts w:ascii="Times New Roman" w:hAnsi="Times New Roman" w:cs="Times New Roman"/>
          <w:sz w:val="24"/>
          <w:szCs w:val="24"/>
          <w:lang w:val="en-GB"/>
        </w:rPr>
        <w:t xml:space="preserve">. </w:t>
      </w:r>
      <w:r w:rsidR="00585086">
        <w:rPr>
          <w:rFonts w:ascii="Times New Roman" w:hAnsi="Times New Roman" w:cs="Times New Roman"/>
          <w:sz w:val="24"/>
          <w:szCs w:val="24"/>
          <w:lang w:val="en-GB"/>
        </w:rPr>
        <w:t>As</w:t>
      </w:r>
      <w:r w:rsidR="00B633D6">
        <w:rPr>
          <w:rFonts w:ascii="Times New Roman" w:hAnsi="Times New Roman" w:cs="Times New Roman"/>
          <w:sz w:val="24"/>
          <w:szCs w:val="24"/>
          <w:lang w:val="en-GB"/>
        </w:rPr>
        <w:t xml:space="preserve"> flexible</w:t>
      </w:r>
      <w:r w:rsidR="00585086">
        <w:rPr>
          <w:rFonts w:ascii="Times New Roman" w:hAnsi="Times New Roman" w:cs="Times New Roman"/>
          <w:sz w:val="24"/>
          <w:szCs w:val="24"/>
          <w:lang w:val="en-GB"/>
        </w:rPr>
        <w:t xml:space="preserve"> exchange rates are difficult to predict, this implies </w:t>
      </w:r>
      <w:r w:rsidR="00BF02C9">
        <w:rPr>
          <w:rFonts w:ascii="Times New Roman" w:hAnsi="Times New Roman" w:cs="Times New Roman"/>
          <w:sz w:val="24"/>
          <w:szCs w:val="24"/>
          <w:lang w:val="en-GB"/>
        </w:rPr>
        <w:t xml:space="preserve">much larger uncertainty regarding the scope </w:t>
      </w:r>
      <w:r w:rsidR="00770EBB">
        <w:rPr>
          <w:rFonts w:ascii="Times New Roman" w:hAnsi="Times New Roman" w:cs="Times New Roman"/>
          <w:sz w:val="24"/>
          <w:szCs w:val="24"/>
          <w:lang w:val="en-GB"/>
        </w:rPr>
        <w:t xml:space="preserve">for wage increases </w:t>
      </w:r>
      <w:r w:rsidR="00FE5C27">
        <w:rPr>
          <w:rFonts w:ascii="Times New Roman" w:hAnsi="Times New Roman" w:cs="Times New Roman"/>
          <w:sz w:val="24"/>
          <w:szCs w:val="24"/>
          <w:lang w:val="en-GB"/>
        </w:rPr>
        <w:t xml:space="preserve">than </w:t>
      </w:r>
      <w:r w:rsidR="002B54C6">
        <w:rPr>
          <w:rFonts w:ascii="Times New Roman" w:hAnsi="Times New Roman" w:cs="Times New Roman"/>
          <w:sz w:val="24"/>
          <w:szCs w:val="24"/>
          <w:lang w:val="en-GB"/>
        </w:rPr>
        <w:t>under a fixed exchange rate</w:t>
      </w:r>
      <w:r w:rsidR="00FE5C27">
        <w:rPr>
          <w:rFonts w:ascii="Times New Roman" w:hAnsi="Times New Roman" w:cs="Times New Roman"/>
          <w:sz w:val="24"/>
          <w:szCs w:val="24"/>
          <w:lang w:val="en-GB"/>
        </w:rPr>
        <w:t>.</w:t>
      </w:r>
    </w:p>
    <w:p w14:paraId="5E75104B" w14:textId="78364C21" w:rsidR="00A32128" w:rsidRPr="0018261D" w:rsidRDefault="00A32128" w:rsidP="00CE6F0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w:t>
      </w:r>
      <w:r w:rsidR="00D81F11">
        <w:rPr>
          <w:rFonts w:ascii="Times New Roman" w:hAnsi="Times New Roman" w:cs="Times New Roman"/>
          <w:sz w:val="24"/>
          <w:szCs w:val="24"/>
          <w:lang w:val="en-GB"/>
        </w:rPr>
        <w:t xml:space="preserve">is uncertainty can </w:t>
      </w:r>
      <w:r w:rsidR="00665F8E">
        <w:rPr>
          <w:rFonts w:ascii="Times New Roman" w:hAnsi="Times New Roman" w:cs="Times New Roman"/>
          <w:sz w:val="24"/>
          <w:szCs w:val="24"/>
          <w:lang w:val="en-GB"/>
        </w:rPr>
        <w:t xml:space="preserve">be addressed in different ways. One is </w:t>
      </w:r>
      <w:r w:rsidR="0087344D">
        <w:rPr>
          <w:rFonts w:ascii="Times New Roman" w:hAnsi="Times New Roman" w:cs="Times New Roman"/>
          <w:sz w:val="24"/>
          <w:szCs w:val="24"/>
          <w:lang w:val="en-GB"/>
        </w:rPr>
        <w:t xml:space="preserve">to </w:t>
      </w:r>
      <w:r w:rsidR="007532F4">
        <w:rPr>
          <w:rFonts w:ascii="Times New Roman" w:hAnsi="Times New Roman" w:cs="Times New Roman"/>
          <w:sz w:val="24"/>
          <w:szCs w:val="24"/>
          <w:lang w:val="en-GB"/>
        </w:rPr>
        <w:t xml:space="preserve">base the </w:t>
      </w:r>
      <w:r w:rsidR="00D31F98">
        <w:rPr>
          <w:rFonts w:ascii="Times New Roman" w:hAnsi="Times New Roman" w:cs="Times New Roman"/>
          <w:sz w:val="24"/>
          <w:szCs w:val="24"/>
          <w:lang w:val="en-GB"/>
        </w:rPr>
        <w:t xml:space="preserve">assessment of the scope for wage increases on </w:t>
      </w:r>
      <w:r w:rsidR="003A5905">
        <w:rPr>
          <w:rFonts w:ascii="Times New Roman" w:hAnsi="Times New Roman" w:cs="Times New Roman"/>
          <w:sz w:val="24"/>
          <w:szCs w:val="24"/>
          <w:lang w:val="en-GB"/>
        </w:rPr>
        <w:t xml:space="preserve">a calculation </w:t>
      </w:r>
      <w:r w:rsidR="00F36CAB">
        <w:rPr>
          <w:rFonts w:ascii="Times New Roman" w:hAnsi="Times New Roman" w:cs="Times New Roman"/>
          <w:sz w:val="24"/>
          <w:szCs w:val="24"/>
          <w:lang w:val="en-GB"/>
        </w:rPr>
        <w:t>of an equilibrium exchange rate</w:t>
      </w:r>
      <w:r w:rsidR="000B12E9">
        <w:rPr>
          <w:rFonts w:ascii="Times New Roman" w:hAnsi="Times New Roman" w:cs="Times New Roman"/>
          <w:sz w:val="24"/>
          <w:szCs w:val="24"/>
          <w:lang w:val="en-GB"/>
        </w:rPr>
        <w:t xml:space="preserve"> and</w:t>
      </w:r>
      <w:r w:rsidR="00141C72">
        <w:rPr>
          <w:rFonts w:ascii="Times New Roman" w:hAnsi="Times New Roman" w:cs="Times New Roman"/>
          <w:sz w:val="24"/>
          <w:szCs w:val="24"/>
          <w:lang w:val="en-GB"/>
        </w:rPr>
        <w:t xml:space="preserve"> a projected path </w:t>
      </w:r>
      <w:r w:rsidR="006E1154">
        <w:rPr>
          <w:rFonts w:ascii="Times New Roman" w:hAnsi="Times New Roman" w:cs="Times New Roman"/>
          <w:sz w:val="24"/>
          <w:szCs w:val="24"/>
          <w:lang w:val="en-GB"/>
        </w:rPr>
        <w:t>to it</w:t>
      </w:r>
      <w:r w:rsidR="007E4519">
        <w:rPr>
          <w:rFonts w:ascii="Times New Roman" w:hAnsi="Times New Roman" w:cs="Times New Roman"/>
          <w:sz w:val="24"/>
          <w:szCs w:val="24"/>
          <w:lang w:val="en-GB"/>
        </w:rPr>
        <w:t xml:space="preserve">. Unfortunately, </w:t>
      </w:r>
      <w:r w:rsidR="00C962A3">
        <w:rPr>
          <w:rFonts w:ascii="Times New Roman" w:hAnsi="Times New Roman" w:cs="Times New Roman"/>
          <w:sz w:val="24"/>
          <w:szCs w:val="24"/>
          <w:lang w:val="en-GB"/>
        </w:rPr>
        <w:t>such calculations are uncertain and t</w:t>
      </w:r>
      <w:r w:rsidR="008D174A">
        <w:rPr>
          <w:rFonts w:ascii="Times New Roman" w:hAnsi="Times New Roman" w:cs="Times New Roman"/>
          <w:sz w:val="24"/>
          <w:szCs w:val="24"/>
          <w:lang w:val="en-GB"/>
        </w:rPr>
        <w:t>her</w:t>
      </w:r>
      <w:r w:rsidR="00C962A3">
        <w:rPr>
          <w:rFonts w:ascii="Times New Roman" w:hAnsi="Times New Roman" w:cs="Times New Roman"/>
          <w:sz w:val="24"/>
          <w:szCs w:val="24"/>
          <w:lang w:val="en-GB"/>
        </w:rPr>
        <w:t xml:space="preserve">e can be </w:t>
      </w:r>
      <w:r w:rsidR="005936BC">
        <w:rPr>
          <w:rFonts w:ascii="Times New Roman" w:hAnsi="Times New Roman" w:cs="Times New Roman"/>
          <w:sz w:val="24"/>
          <w:szCs w:val="24"/>
          <w:lang w:val="en-GB"/>
        </w:rPr>
        <w:t xml:space="preserve">long-term deviations from </w:t>
      </w:r>
      <w:r w:rsidR="00780665">
        <w:rPr>
          <w:rFonts w:ascii="Times New Roman" w:hAnsi="Times New Roman" w:cs="Times New Roman"/>
          <w:sz w:val="24"/>
          <w:szCs w:val="24"/>
          <w:lang w:val="en-GB"/>
        </w:rPr>
        <w:t xml:space="preserve">calculated </w:t>
      </w:r>
      <w:r w:rsidR="005936BC">
        <w:rPr>
          <w:rFonts w:ascii="Times New Roman" w:hAnsi="Times New Roman" w:cs="Times New Roman"/>
          <w:sz w:val="24"/>
          <w:szCs w:val="24"/>
          <w:lang w:val="en-GB"/>
        </w:rPr>
        <w:t>equilibrium values</w:t>
      </w:r>
      <w:r w:rsidR="002447E2">
        <w:rPr>
          <w:rFonts w:ascii="Times New Roman" w:hAnsi="Times New Roman" w:cs="Times New Roman"/>
          <w:sz w:val="24"/>
          <w:szCs w:val="24"/>
          <w:lang w:val="en-GB"/>
        </w:rPr>
        <w:t xml:space="preserve"> as shown by </w:t>
      </w:r>
      <w:r w:rsidR="00C6366E">
        <w:rPr>
          <w:rFonts w:ascii="Times New Roman" w:hAnsi="Times New Roman" w:cs="Times New Roman"/>
          <w:sz w:val="24"/>
          <w:szCs w:val="24"/>
          <w:lang w:val="en-GB"/>
        </w:rPr>
        <w:t xml:space="preserve">the large persistent depreciations of the Norwegian and Swedish currencies in </w:t>
      </w:r>
      <w:r w:rsidR="008C114A">
        <w:rPr>
          <w:rFonts w:ascii="Times New Roman" w:hAnsi="Times New Roman" w:cs="Times New Roman"/>
          <w:sz w:val="24"/>
          <w:szCs w:val="24"/>
          <w:lang w:val="en-GB"/>
        </w:rPr>
        <w:t>2013</w:t>
      </w:r>
      <w:r w:rsidR="008D6BF3">
        <w:rPr>
          <w:rFonts w:ascii="Times New Roman" w:hAnsi="Times New Roman" w:cs="Times New Roman"/>
          <w:sz w:val="24"/>
          <w:szCs w:val="24"/>
          <w:lang w:val="en-GB"/>
        </w:rPr>
        <w:t>–</w:t>
      </w:r>
      <w:r w:rsidR="008C114A">
        <w:rPr>
          <w:rFonts w:ascii="Times New Roman" w:hAnsi="Times New Roman" w:cs="Times New Roman"/>
          <w:sz w:val="24"/>
          <w:szCs w:val="24"/>
          <w:lang w:val="en-GB"/>
        </w:rPr>
        <w:t>24</w:t>
      </w:r>
      <w:r w:rsidR="00AC6EF6">
        <w:rPr>
          <w:rFonts w:ascii="Times New Roman" w:hAnsi="Times New Roman" w:cs="Times New Roman"/>
          <w:sz w:val="24"/>
          <w:szCs w:val="24"/>
          <w:lang w:val="en-GB"/>
        </w:rPr>
        <w:t>. A</w:t>
      </w:r>
      <w:r w:rsidR="00B450CD">
        <w:rPr>
          <w:rFonts w:ascii="Times New Roman" w:hAnsi="Times New Roman" w:cs="Times New Roman"/>
          <w:sz w:val="24"/>
          <w:szCs w:val="24"/>
          <w:lang w:val="en-GB"/>
        </w:rPr>
        <w:t xml:space="preserve">n alternative is to </w:t>
      </w:r>
      <w:r w:rsidR="006950A3">
        <w:rPr>
          <w:rFonts w:ascii="Times New Roman" w:hAnsi="Times New Roman" w:cs="Times New Roman"/>
          <w:sz w:val="24"/>
          <w:szCs w:val="24"/>
          <w:lang w:val="en-GB"/>
        </w:rPr>
        <w:t>assume a random walk for the exchange</w:t>
      </w:r>
      <w:r w:rsidR="006E1154">
        <w:rPr>
          <w:rFonts w:ascii="Times New Roman" w:hAnsi="Times New Roman" w:cs="Times New Roman"/>
          <w:sz w:val="24"/>
          <w:szCs w:val="24"/>
          <w:lang w:val="en-GB"/>
        </w:rPr>
        <w:t xml:space="preserve"> rate, implying </w:t>
      </w:r>
      <w:r w:rsidR="004A426C">
        <w:rPr>
          <w:rFonts w:ascii="Times New Roman" w:hAnsi="Times New Roman" w:cs="Times New Roman"/>
          <w:sz w:val="24"/>
          <w:szCs w:val="24"/>
          <w:lang w:val="en-GB"/>
        </w:rPr>
        <w:t xml:space="preserve">that </w:t>
      </w:r>
      <w:r w:rsidR="00BB1603">
        <w:rPr>
          <w:rFonts w:ascii="Times New Roman" w:hAnsi="Times New Roman" w:cs="Times New Roman"/>
          <w:sz w:val="24"/>
          <w:szCs w:val="24"/>
          <w:lang w:val="en-GB"/>
        </w:rPr>
        <w:t>the current exchange rate is the most likely future outcome. A third possibility</w:t>
      </w:r>
      <w:r w:rsidR="00E66A76">
        <w:rPr>
          <w:rFonts w:ascii="Times New Roman" w:hAnsi="Times New Roman" w:cs="Times New Roman"/>
          <w:sz w:val="24"/>
          <w:szCs w:val="24"/>
          <w:lang w:val="en-GB"/>
        </w:rPr>
        <w:t xml:space="preserve"> is to </w:t>
      </w:r>
      <w:r w:rsidR="0025256C">
        <w:rPr>
          <w:rFonts w:ascii="Times New Roman" w:hAnsi="Times New Roman" w:cs="Times New Roman"/>
          <w:sz w:val="24"/>
          <w:szCs w:val="24"/>
          <w:lang w:val="en-GB"/>
        </w:rPr>
        <w:t xml:space="preserve">calculate </w:t>
      </w:r>
      <w:r w:rsidR="00A5113A">
        <w:rPr>
          <w:rFonts w:ascii="Times New Roman" w:hAnsi="Times New Roman" w:cs="Times New Roman"/>
          <w:sz w:val="24"/>
          <w:szCs w:val="24"/>
          <w:lang w:val="en-GB"/>
        </w:rPr>
        <w:t xml:space="preserve">the exchange rate that is compatible with </w:t>
      </w:r>
      <w:r w:rsidR="00672D58">
        <w:rPr>
          <w:rFonts w:ascii="Times New Roman" w:hAnsi="Times New Roman" w:cs="Times New Roman"/>
          <w:sz w:val="24"/>
          <w:szCs w:val="24"/>
          <w:lang w:val="en-GB"/>
        </w:rPr>
        <w:t xml:space="preserve">the inflation target </w:t>
      </w:r>
      <w:r w:rsidR="001572DA">
        <w:rPr>
          <w:rFonts w:ascii="Times New Roman" w:hAnsi="Times New Roman" w:cs="Times New Roman"/>
          <w:sz w:val="24"/>
          <w:szCs w:val="24"/>
          <w:lang w:val="en-GB"/>
        </w:rPr>
        <w:t xml:space="preserve">and use that for predicting </w:t>
      </w:r>
      <w:r w:rsidR="00CA2269">
        <w:rPr>
          <w:rFonts w:ascii="Times New Roman" w:hAnsi="Times New Roman" w:cs="Times New Roman"/>
          <w:sz w:val="24"/>
          <w:szCs w:val="24"/>
          <w:lang w:val="en-GB"/>
        </w:rPr>
        <w:t>domestic-currency price changes for tradables</w:t>
      </w:r>
      <w:r w:rsidR="00B23F9E">
        <w:rPr>
          <w:rFonts w:ascii="Times New Roman" w:hAnsi="Times New Roman" w:cs="Times New Roman"/>
          <w:sz w:val="24"/>
          <w:szCs w:val="24"/>
          <w:lang w:val="en-GB"/>
        </w:rPr>
        <w:t xml:space="preserve">. </w:t>
      </w:r>
      <w:r w:rsidR="002671A3">
        <w:rPr>
          <w:rFonts w:ascii="Times New Roman" w:hAnsi="Times New Roman" w:cs="Times New Roman"/>
          <w:sz w:val="24"/>
          <w:szCs w:val="24"/>
          <w:lang w:val="en-GB"/>
        </w:rPr>
        <w:t>The Appendix</w:t>
      </w:r>
      <w:r w:rsidR="00D42AF0">
        <w:rPr>
          <w:rFonts w:ascii="Times New Roman" w:hAnsi="Times New Roman" w:cs="Times New Roman"/>
          <w:sz w:val="24"/>
          <w:szCs w:val="24"/>
          <w:lang w:val="en-GB"/>
        </w:rPr>
        <w:t xml:space="preserve"> shows that </w:t>
      </w:r>
      <w:r w:rsidR="00350851">
        <w:rPr>
          <w:rFonts w:ascii="Times New Roman" w:hAnsi="Times New Roman" w:cs="Times New Roman"/>
          <w:sz w:val="24"/>
          <w:szCs w:val="24"/>
          <w:lang w:val="en-GB"/>
        </w:rPr>
        <w:t xml:space="preserve"> </w:t>
      </w:r>
      <w:r w:rsidR="00A25FDB">
        <w:rPr>
          <w:rFonts w:ascii="Times New Roman" w:hAnsi="Times New Roman" w:cs="Times New Roman"/>
          <w:sz w:val="24"/>
          <w:szCs w:val="24"/>
          <w:lang w:val="en-GB"/>
        </w:rPr>
        <w:t>this</w:t>
      </w:r>
      <w:r w:rsidR="00350851">
        <w:rPr>
          <w:rFonts w:ascii="Times New Roman" w:hAnsi="Times New Roman" w:cs="Times New Roman"/>
          <w:sz w:val="24"/>
          <w:szCs w:val="24"/>
          <w:lang w:val="en-GB"/>
        </w:rPr>
        <w:t xml:space="preserve"> </w:t>
      </w:r>
      <w:r w:rsidR="00F23083">
        <w:rPr>
          <w:rFonts w:ascii="Times New Roman" w:hAnsi="Times New Roman" w:cs="Times New Roman"/>
          <w:sz w:val="24"/>
          <w:szCs w:val="24"/>
          <w:lang w:val="en-GB"/>
        </w:rPr>
        <w:t>give</w:t>
      </w:r>
      <w:r w:rsidR="00A25FDB">
        <w:rPr>
          <w:rFonts w:ascii="Times New Roman" w:hAnsi="Times New Roman" w:cs="Times New Roman"/>
          <w:sz w:val="24"/>
          <w:szCs w:val="24"/>
          <w:lang w:val="en-GB"/>
        </w:rPr>
        <w:t>s</w:t>
      </w:r>
      <w:r w:rsidR="00D42AF0">
        <w:rPr>
          <w:rFonts w:ascii="Times New Roman" w:hAnsi="Times New Roman" w:cs="Times New Roman"/>
          <w:sz w:val="24"/>
          <w:szCs w:val="24"/>
          <w:lang w:val="en-GB"/>
        </w:rPr>
        <w:t xml:space="preserve"> a</w:t>
      </w:r>
      <w:r w:rsidR="00F23083">
        <w:rPr>
          <w:rFonts w:ascii="Times New Roman" w:hAnsi="Times New Roman" w:cs="Times New Roman"/>
          <w:sz w:val="24"/>
          <w:szCs w:val="24"/>
          <w:lang w:val="en-GB"/>
        </w:rPr>
        <w:t xml:space="preserve"> </w:t>
      </w:r>
      <w:r w:rsidR="00012F18">
        <w:rPr>
          <w:rFonts w:ascii="Times New Roman" w:hAnsi="Times New Roman" w:cs="Times New Roman"/>
          <w:sz w:val="24"/>
          <w:szCs w:val="24"/>
          <w:lang w:val="en-GB"/>
        </w:rPr>
        <w:t xml:space="preserve">scope for wage increases </w:t>
      </w:r>
      <w:r w:rsidR="00D42AF0">
        <w:rPr>
          <w:rFonts w:ascii="Times New Roman" w:hAnsi="Times New Roman" w:cs="Times New Roman"/>
          <w:sz w:val="24"/>
          <w:szCs w:val="24"/>
          <w:lang w:val="en-GB"/>
        </w:rPr>
        <w:t xml:space="preserve">equal to the sum of </w:t>
      </w:r>
      <w:r w:rsidR="00350851">
        <w:rPr>
          <w:rFonts w:ascii="Times New Roman" w:hAnsi="Times New Roman" w:cs="Times New Roman"/>
          <w:sz w:val="24"/>
          <w:szCs w:val="24"/>
          <w:lang w:val="en-GB"/>
        </w:rPr>
        <w:t xml:space="preserve"> the </w:t>
      </w:r>
      <w:r w:rsidR="0093458B">
        <w:rPr>
          <w:rFonts w:ascii="Times New Roman" w:hAnsi="Times New Roman" w:cs="Times New Roman"/>
          <w:sz w:val="24"/>
          <w:szCs w:val="24"/>
          <w:lang w:val="en-GB"/>
        </w:rPr>
        <w:t xml:space="preserve">inflation target and average productivity growth in the </w:t>
      </w:r>
      <w:r w:rsidR="008C67E7">
        <w:rPr>
          <w:rFonts w:ascii="Times New Roman" w:hAnsi="Times New Roman" w:cs="Times New Roman"/>
          <w:sz w:val="24"/>
          <w:szCs w:val="24"/>
          <w:lang w:val="en-GB"/>
        </w:rPr>
        <w:t>e</w:t>
      </w:r>
      <w:r w:rsidR="0093458B">
        <w:rPr>
          <w:rFonts w:ascii="Times New Roman" w:hAnsi="Times New Roman" w:cs="Times New Roman"/>
          <w:sz w:val="24"/>
          <w:szCs w:val="24"/>
          <w:lang w:val="en-GB"/>
        </w:rPr>
        <w:t>conomy</w:t>
      </w:r>
      <w:r w:rsidR="00484A25">
        <w:rPr>
          <w:rFonts w:ascii="Times New Roman" w:hAnsi="Times New Roman" w:cs="Times New Roman"/>
          <w:sz w:val="24"/>
          <w:szCs w:val="24"/>
          <w:lang w:val="en-GB"/>
        </w:rPr>
        <w:t xml:space="preserve">, so </w:t>
      </w:r>
      <w:r w:rsidR="005F44E2">
        <w:rPr>
          <w:rFonts w:ascii="Times New Roman" w:hAnsi="Times New Roman" w:cs="Times New Roman"/>
          <w:sz w:val="24"/>
          <w:szCs w:val="24"/>
          <w:lang w:val="en-GB"/>
        </w:rPr>
        <w:t xml:space="preserve">the latter </w:t>
      </w:r>
      <w:r w:rsidR="00D42AF0">
        <w:rPr>
          <w:rFonts w:ascii="Times New Roman" w:hAnsi="Times New Roman" w:cs="Times New Roman"/>
          <w:sz w:val="24"/>
          <w:szCs w:val="24"/>
          <w:lang w:val="en-GB"/>
        </w:rPr>
        <w:t>is</w:t>
      </w:r>
      <w:r w:rsidR="00431214">
        <w:rPr>
          <w:rFonts w:ascii="Times New Roman" w:hAnsi="Times New Roman" w:cs="Times New Roman"/>
          <w:sz w:val="24"/>
          <w:szCs w:val="24"/>
          <w:lang w:val="en-GB"/>
        </w:rPr>
        <w:t xml:space="preserve"> a simple way of formulating the</w:t>
      </w:r>
      <w:r w:rsidR="00D42AF0">
        <w:rPr>
          <w:rFonts w:ascii="Times New Roman" w:hAnsi="Times New Roman" w:cs="Times New Roman"/>
          <w:sz w:val="24"/>
          <w:szCs w:val="24"/>
          <w:lang w:val="en-GB"/>
        </w:rPr>
        <w:t xml:space="preserve"> Scandinavian</w:t>
      </w:r>
      <w:r w:rsidR="00431214">
        <w:rPr>
          <w:rFonts w:ascii="Times New Roman" w:hAnsi="Times New Roman" w:cs="Times New Roman"/>
          <w:sz w:val="24"/>
          <w:szCs w:val="24"/>
          <w:lang w:val="en-GB"/>
        </w:rPr>
        <w:t xml:space="preserve"> wage norm </w:t>
      </w:r>
      <w:r w:rsidR="00321ADB">
        <w:rPr>
          <w:rFonts w:ascii="Times New Roman" w:hAnsi="Times New Roman" w:cs="Times New Roman"/>
          <w:sz w:val="24"/>
          <w:szCs w:val="24"/>
          <w:lang w:val="en-GB"/>
        </w:rPr>
        <w:t>under</w:t>
      </w:r>
      <w:r w:rsidR="008C6AB7">
        <w:rPr>
          <w:rFonts w:ascii="Times New Roman" w:hAnsi="Times New Roman" w:cs="Times New Roman"/>
          <w:sz w:val="24"/>
          <w:szCs w:val="24"/>
          <w:lang w:val="en-GB"/>
        </w:rPr>
        <w:t xml:space="preserve"> inflation targeting.</w:t>
      </w:r>
      <w:r w:rsidR="004221FE">
        <w:rPr>
          <w:rFonts w:ascii="Times New Roman" w:hAnsi="Times New Roman" w:cs="Times New Roman"/>
          <w:sz w:val="24"/>
          <w:szCs w:val="24"/>
          <w:lang w:val="en-GB"/>
        </w:rPr>
        <w:t xml:space="preserve"> </w:t>
      </w:r>
      <w:r w:rsidR="002671A3">
        <w:rPr>
          <w:rFonts w:ascii="Times New Roman" w:hAnsi="Times New Roman" w:cs="Times New Roman"/>
          <w:sz w:val="24"/>
          <w:szCs w:val="24"/>
          <w:lang w:val="en-GB"/>
        </w:rPr>
        <w:t>However, b</w:t>
      </w:r>
      <w:r w:rsidR="00190AE1">
        <w:rPr>
          <w:rFonts w:ascii="Times New Roman" w:hAnsi="Times New Roman" w:cs="Times New Roman"/>
          <w:sz w:val="24"/>
          <w:szCs w:val="24"/>
          <w:lang w:val="en-GB"/>
        </w:rPr>
        <w:t>ecause</w:t>
      </w:r>
      <w:r w:rsidR="00386888">
        <w:rPr>
          <w:rFonts w:ascii="Times New Roman" w:hAnsi="Times New Roman" w:cs="Times New Roman"/>
          <w:sz w:val="24"/>
          <w:szCs w:val="24"/>
          <w:lang w:val="en-GB"/>
        </w:rPr>
        <w:t xml:space="preserve"> of the erratic behaviour of exchange rates, </w:t>
      </w:r>
      <w:r w:rsidR="003D6F40">
        <w:rPr>
          <w:rFonts w:ascii="Times New Roman" w:hAnsi="Times New Roman" w:cs="Times New Roman"/>
          <w:sz w:val="24"/>
          <w:szCs w:val="24"/>
          <w:lang w:val="en-GB"/>
        </w:rPr>
        <w:t>large diff</w:t>
      </w:r>
      <w:r w:rsidR="003A5EE5">
        <w:rPr>
          <w:rFonts w:ascii="Times New Roman" w:hAnsi="Times New Roman" w:cs="Times New Roman"/>
          <w:sz w:val="24"/>
          <w:szCs w:val="24"/>
          <w:lang w:val="en-GB"/>
        </w:rPr>
        <w:t xml:space="preserve">erences between the </w:t>
      </w:r>
      <w:r w:rsidR="00386888">
        <w:rPr>
          <w:rFonts w:ascii="Times New Roman" w:hAnsi="Times New Roman" w:cs="Times New Roman"/>
          <w:sz w:val="24"/>
          <w:szCs w:val="24"/>
          <w:lang w:val="en-GB"/>
        </w:rPr>
        <w:t>r</w:t>
      </w:r>
      <w:r w:rsidR="003A5EE5">
        <w:rPr>
          <w:rFonts w:ascii="Times New Roman" w:hAnsi="Times New Roman" w:cs="Times New Roman"/>
          <w:sz w:val="24"/>
          <w:szCs w:val="24"/>
          <w:lang w:val="en-GB"/>
        </w:rPr>
        <w:t xml:space="preserve">ate required to </w:t>
      </w:r>
      <w:r w:rsidR="00386888">
        <w:rPr>
          <w:rFonts w:ascii="Times New Roman" w:hAnsi="Times New Roman" w:cs="Times New Roman"/>
          <w:sz w:val="24"/>
          <w:szCs w:val="24"/>
          <w:lang w:val="en-GB"/>
        </w:rPr>
        <w:t xml:space="preserve">reach the inflation target and </w:t>
      </w:r>
      <w:r w:rsidR="00190AE1">
        <w:rPr>
          <w:rFonts w:ascii="Times New Roman" w:hAnsi="Times New Roman" w:cs="Times New Roman"/>
          <w:sz w:val="24"/>
          <w:szCs w:val="24"/>
          <w:lang w:val="en-GB"/>
        </w:rPr>
        <w:t>the actual rate</w:t>
      </w:r>
      <w:r w:rsidR="0043240F">
        <w:rPr>
          <w:rFonts w:ascii="Times New Roman" w:hAnsi="Times New Roman" w:cs="Times New Roman"/>
          <w:sz w:val="24"/>
          <w:szCs w:val="24"/>
          <w:lang w:val="en-GB"/>
        </w:rPr>
        <w:t xml:space="preserve"> are likely to emerge</w:t>
      </w:r>
      <w:r w:rsidR="00190AE1">
        <w:rPr>
          <w:rFonts w:ascii="Times New Roman" w:hAnsi="Times New Roman" w:cs="Times New Roman"/>
          <w:sz w:val="24"/>
          <w:szCs w:val="24"/>
          <w:lang w:val="en-GB"/>
        </w:rPr>
        <w:t>.</w:t>
      </w:r>
      <w:r w:rsidR="00D84F58">
        <w:rPr>
          <w:rFonts w:ascii="Times New Roman" w:hAnsi="Times New Roman" w:cs="Times New Roman"/>
          <w:sz w:val="24"/>
          <w:szCs w:val="24"/>
          <w:lang w:val="en-GB"/>
        </w:rPr>
        <w:t xml:space="preserve"> Hence, large </w:t>
      </w:r>
      <w:r w:rsidR="0043240F">
        <w:rPr>
          <w:rFonts w:ascii="Times New Roman" w:hAnsi="Times New Roman" w:cs="Times New Roman"/>
          <w:sz w:val="24"/>
          <w:szCs w:val="24"/>
          <w:lang w:val="en-GB"/>
        </w:rPr>
        <w:t>swings</w:t>
      </w:r>
      <w:r w:rsidR="00D84F58">
        <w:rPr>
          <w:rFonts w:ascii="Times New Roman" w:hAnsi="Times New Roman" w:cs="Times New Roman"/>
          <w:sz w:val="24"/>
          <w:szCs w:val="24"/>
          <w:lang w:val="en-GB"/>
        </w:rPr>
        <w:t xml:space="preserve"> </w:t>
      </w:r>
      <w:r w:rsidR="00B72272">
        <w:rPr>
          <w:rFonts w:ascii="Times New Roman" w:hAnsi="Times New Roman" w:cs="Times New Roman"/>
          <w:sz w:val="24"/>
          <w:szCs w:val="24"/>
          <w:lang w:val="en-GB"/>
        </w:rPr>
        <w:t xml:space="preserve">in </w:t>
      </w:r>
      <w:r w:rsidR="00895B5E">
        <w:rPr>
          <w:rFonts w:ascii="Times New Roman" w:hAnsi="Times New Roman" w:cs="Times New Roman"/>
          <w:sz w:val="24"/>
          <w:szCs w:val="24"/>
          <w:lang w:val="en-GB"/>
        </w:rPr>
        <w:t xml:space="preserve">the </w:t>
      </w:r>
      <w:r w:rsidR="00B72272">
        <w:rPr>
          <w:rFonts w:ascii="Times New Roman" w:hAnsi="Times New Roman" w:cs="Times New Roman"/>
          <w:sz w:val="24"/>
          <w:szCs w:val="24"/>
          <w:lang w:val="en-GB"/>
        </w:rPr>
        <w:t xml:space="preserve">wage share </w:t>
      </w:r>
      <w:r w:rsidR="0046100B">
        <w:rPr>
          <w:rFonts w:ascii="Times New Roman" w:hAnsi="Times New Roman" w:cs="Times New Roman"/>
          <w:sz w:val="24"/>
          <w:szCs w:val="24"/>
          <w:lang w:val="en-GB"/>
        </w:rPr>
        <w:t xml:space="preserve">in the tradables sector </w:t>
      </w:r>
      <w:r w:rsidR="00DE7D8D">
        <w:rPr>
          <w:rFonts w:ascii="Times New Roman" w:hAnsi="Times New Roman" w:cs="Times New Roman"/>
          <w:sz w:val="24"/>
          <w:szCs w:val="24"/>
          <w:lang w:val="en-GB"/>
        </w:rPr>
        <w:t>easily</w:t>
      </w:r>
      <w:r w:rsidR="0046100B">
        <w:rPr>
          <w:rFonts w:ascii="Times New Roman" w:hAnsi="Times New Roman" w:cs="Times New Roman"/>
          <w:sz w:val="24"/>
          <w:szCs w:val="24"/>
          <w:lang w:val="en-GB"/>
        </w:rPr>
        <w:t xml:space="preserve"> arise under a flexible excha</w:t>
      </w:r>
      <w:r w:rsidR="004C5CA4">
        <w:rPr>
          <w:rFonts w:ascii="Times New Roman" w:hAnsi="Times New Roman" w:cs="Times New Roman"/>
          <w:sz w:val="24"/>
          <w:szCs w:val="24"/>
          <w:lang w:val="en-GB"/>
        </w:rPr>
        <w:t>nge rate.</w:t>
      </w:r>
      <w:r w:rsidR="00DE7D8D">
        <w:rPr>
          <w:rFonts w:ascii="Times New Roman" w:hAnsi="Times New Roman" w:cs="Times New Roman"/>
          <w:sz w:val="24"/>
          <w:szCs w:val="24"/>
          <w:lang w:val="en-GB"/>
        </w:rPr>
        <w:t xml:space="preserve"> </w:t>
      </w:r>
    </w:p>
    <w:p w14:paraId="138E29E2" w14:textId="5CC168D1" w:rsidR="00666FAE" w:rsidRDefault="00E46756" w:rsidP="00CE6F0B">
      <w:pPr>
        <w:spacing w:line="360" w:lineRule="auto"/>
        <w:jc w:val="both"/>
        <w:rPr>
          <w:rFonts w:ascii="Times New Roman" w:hAnsi="Times New Roman" w:cs="Times New Roman"/>
          <w:sz w:val="24"/>
          <w:szCs w:val="24"/>
          <w:lang w:val="en-GB"/>
        </w:rPr>
      </w:pPr>
      <w:r w:rsidRPr="000E037A">
        <w:rPr>
          <w:rFonts w:ascii="Times New Roman" w:hAnsi="Times New Roman" w:cs="Times New Roman"/>
          <w:sz w:val="24"/>
          <w:szCs w:val="24"/>
          <w:lang w:val="en-GB"/>
        </w:rPr>
        <w:t>Anot</w:t>
      </w:r>
      <w:r w:rsidR="008D174A">
        <w:rPr>
          <w:rFonts w:ascii="Times New Roman" w:hAnsi="Times New Roman" w:cs="Times New Roman"/>
          <w:sz w:val="24"/>
          <w:szCs w:val="24"/>
          <w:lang w:val="en-GB"/>
        </w:rPr>
        <w:t>her</w:t>
      </w:r>
      <w:r w:rsidRPr="000E037A">
        <w:rPr>
          <w:rFonts w:ascii="Times New Roman" w:hAnsi="Times New Roman" w:cs="Times New Roman"/>
          <w:sz w:val="24"/>
          <w:szCs w:val="24"/>
          <w:lang w:val="en-GB"/>
        </w:rPr>
        <w:t xml:space="preserve"> pe</w:t>
      </w:r>
      <w:r w:rsidR="000E037A" w:rsidRPr="000E037A">
        <w:rPr>
          <w:rFonts w:ascii="Times New Roman" w:hAnsi="Times New Roman" w:cs="Times New Roman"/>
          <w:sz w:val="24"/>
          <w:szCs w:val="24"/>
          <w:lang w:val="en-GB"/>
        </w:rPr>
        <w:t>rspective on a S</w:t>
      </w:r>
      <w:r w:rsidR="000E037A">
        <w:rPr>
          <w:rFonts w:ascii="Times New Roman" w:hAnsi="Times New Roman" w:cs="Times New Roman"/>
          <w:sz w:val="24"/>
          <w:szCs w:val="24"/>
          <w:lang w:val="en-GB"/>
        </w:rPr>
        <w:t xml:space="preserve">candinavian-model wage norm </w:t>
      </w:r>
      <w:r w:rsidR="00F669D9">
        <w:rPr>
          <w:rFonts w:ascii="Times New Roman" w:hAnsi="Times New Roman" w:cs="Times New Roman"/>
          <w:sz w:val="24"/>
          <w:szCs w:val="24"/>
          <w:lang w:val="en-GB"/>
        </w:rPr>
        <w:t>concerns</w:t>
      </w:r>
      <w:r w:rsidR="00D11E5E">
        <w:rPr>
          <w:rFonts w:ascii="Times New Roman" w:hAnsi="Times New Roman" w:cs="Times New Roman"/>
          <w:sz w:val="24"/>
          <w:szCs w:val="24"/>
          <w:lang w:val="en-GB"/>
        </w:rPr>
        <w:t xml:space="preserve"> the risk for wage-price spirals. </w:t>
      </w:r>
      <w:r w:rsidR="00735D86">
        <w:rPr>
          <w:rFonts w:ascii="Times New Roman" w:hAnsi="Times New Roman" w:cs="Times New Roman"/>
          <w:sz w:val="24"/>
          <w:szCs w:val="24"/>
          <w:lang w:val="en-GB"/>
        </w:rPr>
        <w:t>Kolsrud and Nymoen (2023)</w:t>
      </w:r>
      <w:r w:rsidR="004364DA">
        <w:rPr>
          <w:rFonts w:ascii="Times New Roman" w:hAnsi="Times New Roman" w:cs="Times New Roman"/>
          <w:sz w:val="24"/>
          <w:szCs w:val="24"/>
          <w:lang w:val="en-GB"/>
        </w:rPr>
        <w:t xml:space="preserve"> analyse</w:t>
      </w:r>
      <w:r w:rsidR="00CB066F">
        <w:rPr>
          <w:rFonts w:ascii="Times New Roman" w:hAnsi="Times New Roman" w:cs="Times New Roman"/>
          <w:sz w:val="24"/>
          <w:szCs w:val="24"/>
          <w:lang w:val="en-GB"/>
        </w:rPr>
        <w:t xml:space="preserve"> in a stylised model</w:t>
      </w:r>
      <w:r w:rsidR="004364DA">
        <w:rPr>
          <w:rFonts w:ascii="Times New Roman" w:hAnsi="Times New Roman" w:cs="Times New Roman"/>
          <w:sz w:val="24"/>
          <w:szCs w:val="24"/>
          <w:lang w:val="en-GB"/>
        </w:rPr>
        <w:t xml:space="preserve"> whet</w:t>
      </w:r>
      <w:r w:rsidR="008D174A">
        <w:rPr>
          <w:rFonts w:ascii="Times New Roman" w:hAnsi="Times New Roman" w:cs="Times New Roman"/>
          <w:sz w:val="24"/>
          <w:szCs w:val="24"/>
          <w:lang w:val="en-GB"/>
        </w:rPr>
        <w:t>her</w:t>
      </w:r>
      <w:r w:rsidR="009252B5">
        <w:rPr>
          <w:rFonts w:ascii="Times New Roman" w:hAnsi="Times New Roman" w:cs="Times New Roman"/>
          <w:sz w:val="24"/>
          <w:szCs w:val="24"/>
          <w:lang w:val="en-GB"/>
        </w:rPr>
        <w:t>,</w:t>
      </w:r>
      <w:r w:rsidR="0023420C">
        <w:rPr>
          <w:rFonts w:ascii="Times New Roman" w:hAnsi="Times New Roman" w:cs="Times New Roman"/>
          <w:sz w:val="24"/>
          <w:szCs w:val="24"/>
          <w:lang w:val="en-GB"/>
        </w:rPr>
        <w:t xml:space="preserve"> after a series of shocks</w:t>
      </w:r>
      <w:r w:rsidR="007A208D">
        <w:rPr>
          <w:rFonts w:ascii="Times New Roman" w:hAnsi="Times New Roman" w:cs="Times New Roman"/>
          <w:sz w:val="24"/>
          <w:szCs w:val="24"/>
          <w:lang w:val="en-GB"/>
        </w:rPr>
        <w:t>,</w:t>
      </w:r>
      <w:r w:rsidR="0023420C">
        <w:rPr>
          <w:rFonts w:ascii="Times New Roman" w:hAnsi="Times New Roman" w:cs="Times New Roman"/>
          <w:sz w:val="24"/>
          <w:szCs w:val="24"/>
          <w:lang w:val="en-GB"/>
        </w:rPr>
        <w:t xml:space="preserve"> t</w:t>
      </w:r>
      <w:r w:rsidR="008D174A">
        <w:rPr>
          <w:rFonts w:ascii="Times New Roman" w:hAnsi="Times New Roman" w:cs="Times New Roman"/>
          <w:sz w:val="24"/>
          <w:szCs w:val="24"/>
          <w:lang w:val="en-GB"/>
        </w:rPr>
        <w:t>her</w:t>
      </w:r>
      <w:r w:rsidR="0023420C">
        <w:rPr>
          <w:rFonts w:ascii="Times New Roman" w:hAnsi="Times New Roman" w:cs="Times New Roman"/>
          <w:sz w:val="24"/>
          <w:szCs w:val="24"/>
          <w:lang w:val="en-GB"/>
        </w:rPr>
        <w:t xml:space="preserve">e is a return </w:t>
      </w:r>
      <w:r w:rsidR="00105435">
        <w:rPr>
          <w:rFonts w:ascii="Times New Roman" w:hAnsi="Times New Roman" w:cs="Times New Roman"/>
          <w:sz w:val="24"/>
          <w:szCs w:val="24"/>
          <w:lang w:val="en-GB"/>
        </w:rPr>
        <w:t>to stable price and wage growth</w:t>
      </w:r>
      <w:r w:rsidR="00285D0A">
        <w:rPr>
          <w:rFonts w:ascii="Times New Roman" w:hAnsi="Times New Roman" w:cs="Times New Roman"/>
          <w:sz w:val="24"/>
          <w:szCs w:val="24"/>
          <w:lang w:val="en-GB"/>
        </w:rPr>
        <w:t xml:space="preserve">. </w:t>
      </w:r>
      <w:r w:rsidR="00BF5C5B">
        <w:rPr>
          <w:rFonts w:ascii="Times New Roman" w:hAnsi="Times New Roman" w:cs="Times New Roman"/>
          <w:sz w:val="24"/>
          <w:szCs w:val="24"/>
          <w:lang w:val="en-GB"/>
        </w:rPr>
        <w:t>It is found</w:t>
      </w:r>
      <w:r w:rsidR="00FD1125">
        <w:rPr>
          <w:rFonts w:ascii="Times New Roman" w:hAnsi="Times New Roman" w:cs="Times New Roman"/>
          <w:sz w:val="24"/>
          <w:szCs w:val="24"/>
          <w:lang w:val="en-GB"/>
        </w:rPr>
        <w:t xml:space="preserve"> that</w:t>
      </w:r>
      <w:r w:rsidR="00F5736D">
        <w:rPr>
          <w:rFonts w:ascii="Times New Roman" w:hAnsi="Times New Roman" w:cs="Times New Roman"/>
          <w:sz w:val="24"/>
          <w:szCs w:val="24"/>
          <w:lang w:val="en-GB"/>
        </w:rPr>
        <w:t>, for a large range of unemployment levels,</w:t>
      </w:r>
      <w:r w:rsidR="00FD1125">
        <w:rPr>
          <w:rFonts w:ascii="Times New Roman" w:hAnsi="Times New Roman" w:cs="Times New Roman"/>
          <w:sz w:val="24"/>
          <w:szCs w:val="24"/>
          <w:lang w:val="en-GB"/>
        </w:rPr>
        <w:t xml:space="preserve"> t</w:t>
      </w:r>
      <w:r w:rsidR="008D174A">
        <w:rPr>
          <w:rFonts w:ascii="Times New Roman" w:hAnsi="Times New Roman" w:cs="Times New Roman"/>
          <w:sz w:val="24"/>
          <w:szCs w:val="24"/>
          <w:lang w:val="en-GB"/>
        </w:rPr>
        <w:t>her</w:t>
      </w:r>
      <w:r w:rsidR="00FD1125">
        <w:rPr>
          <w:rFonts w:ascii="Times New Roman" w:hAnsi="Times New Roman" w:cs="Times New Roman"/>
          <w:sz w:val="24"/>
          <w:szCs w:val="24"/>
          <w:lang w:val="en-GB"/>
        </w:rPr>
        <w:t xml:space="preserve">e is indeed such a return </w:t>
      </w:r>
      <w:r w:rsidR="002077F3">
        <w:rPr>
          <w:rFonts w:ascii="Times New Roman" w:hAnsi="Times New Roman" w:cs="Times New Roman"/>
          <w:sz w:val="24"/>
          <w:szCs w:val="24"/>
          <w:lang w:val="en-GB"/>
        </w:rPr>
        <w:t xml:space="preserve">if wage increases depend </w:t>
      </w:r>
      <w:r w:rsidR="00BD55F7">
        <w:rPr>
          <w:rFonts w:ascii="Times New Roman" w:hAnsi="Times New Roman" w:cs="Times New Roman"/>
          <w:sz w:val="24"/>
          <w:szCs w:val="24"/>
          <w:lang w:val="en-GB"/>
        </w:rPr>
        <w:t>not only on</w:t>
      </w:r>
      <w:r w:rsidR="001B0736">
        <w:rPr>
          <w:rFonts w:ascii="Times New Roman" w:hAnsi="Times New Roman" w:cs="Times New Roman"/>
          <w:sz w:val="24"/>
          <w:szCs w:val="24"/>
          <w:lang w:val="en-GB"/>
        </w:rPr>
        <w:t xml:space="preserve"> unemployment and</w:t>
      </w:r>
      <w:r w:rsidR="00BD55F7">
        <w:rPr>
          <w:rFonts w:ascii="Times New Roman" w:hAnsi="Times New Roman" w:cs="Times New Roman"/>
          <w:sz w:val="24"/>
          <w:szCs w:val="24"/>
          <w:lang w:val="en-GB"/>
        </w:rPr>
        <w:t xml:space="preserve"> past </w:t>
      </w:r>
      <w:r w:rsidR="004D4BB5">
        <w:rPr>
          <w:rFonts w:ascii="Times New Roman" w:hAnsi="Times New Roman" w:cs="Times New Roman"/>
          <w:sz w:val="24"/>
          <w:szCs w:val="24"/>
          <w:lang w:val="en-GB"/>
        </w:rPr>
        <w:t xml:space="preserve">consumer </w:t>
      </w:r>
      <w:r w:rsidR="00BD55F7">
        <w:rPr>
          <w:rFonts w:ascii="Times New Roman" w:hAnsi="Times New Roman" w:cs="Times New Roman"/>
          <w:sz w:val="24"/>
          <w:szCs w:val="24"/>
          <w:lang w:val="en-GB"/>
        </w:rPr>
        <w:t xml:space="preserve">price increases </w:t>
      </w:r>
      <w:r w:rsidR="00514AB3">
        <w:rPr>
          <w:rFonts w:ascii="Times New Roman" w:hAnsi="Times New Roman" w:cs="Times New Roman"/>
          <w:sz w:val="24"/>
          <w:szCs w:val="24"/>
          <w:lang w:val="en-GB"/>
        </w:rPr>
        <w:t>(a</w:t>
      </w:r>
      <w:r w:rsidR="00E67382">
        <w:rPr>
          <w:rFonts w:ascii="Times New Roman" w:hAnsi="Times New Roman" w:cs="Times New Roman"/>
          <w:sz w:val="24"/>
          <w:szCs w:val="24"/>
          <w:lang w:val="en-GB"/>
        </w:rPr>
        <w:t xml:space="preserve"> version of the</w:t>
      </w:r>
      <w:r w:rsidR="00514AB3">
        <w:rPr>
          <w:rFonts w:ascii="Times New Roman" w:hAnsi="Times New Roman" w:cs="Times New Roman"/>
          <w:sz w:val="24"/>
          <w:szCs w:val="24"/>
          <w:lang w:val="en-GB"/>
        </w:rPr>
        <w:t xml:space="preserve"> Phillips curve) but also </w:t>
      </w:r>
      <w:r w:rsidR="009252B5">
        <w:rPr>
          <w:rFonts w:ascii="Times New Roman" w:hAnsi="Times New Roman" w:cs="Times New Roman"/>
          <w:sz w:val="24"/>
          <w:szCs w:val="24"/>
          <w:lang w:val="en-GB"/>
        </w:rPr>
        <w:t>on the wage share</w:t>
      </w:r>
      <w:r w:rsidR="003E4BCD">
        <w:rPr>
          <w:rFonts w:ascii="Times New Roman" w:hAnsi="Times New Roman" w:cs="Times New Roman"/>
          <w:sz w:val="24"/>
          <w:szCs w:val="24"/>
          <w:lang w:val="en-GB"/>
        </w:rPr>
        <w:t xml:space="preserve"> in the tradables sector</w:t>
      </w:r>
      <w:r w:rsidR="00967609">
        <w:rPr>
          <w:rFonts w:ascii="Times New Roman" w:hAnsi="Times New Roman" w:cs="Times New Roman"/>
          <w:sz w:val="24"/>
          <w:szCs w:val="24"/>
          <w:lang w:val="en-GB"/>
        </w:rPr>
        <w:t xml:space="preserve">. </w:t>
      </w:r>
      <w:r w:rsidR="003E4BCD">
        <w:rPr>
          <w:rFonts w:ascii="Times New Roman" w:hAnsi="Times New Roman" w:cs="Times New Roman"/>
          <w:sz w:val="24"/>
          <w:szCs w:val="24"/>
          <w:lang w:val="en-GB"/>
        </w:rPr>
        <w:t xml:space="preserve">The latter relationship </w:t>
      </w:r>
      <w:r w:rsidR="0051518B">
        <w:rPr>
          <w:rFonts w:ascii="Times New Roman" w:hAnsi="Times New Roman" w:cs="Times New Roman"/>
          <w:sz w:val="24"/>
          <w:szCs w:val="24"/>
          <w:lang w:val="en-GB"/>
        </w:rPr>
        <w:t>is</w:t>
      </w:r>
      <w:r w:rsidR="008D1BF2">
        <w:rPr>
          <w:rFonts w:ascii="Times New Roman" w:hAnsi="Times New Roman" w:cs="Times New Roman"/>
          <w:sz w:val="24"/>
          <w:szCs w:val="24"/>
          <w:lang w:val="en-GB"/>
        </w:rPr>
        <w:t xml:space="preserve"> taken as a reflection of </w:t>
      </w:r>
      <w:r w:rsidR="000319C5">
        <w:rPr>
          <w:rFonts w:ascii="Times New Roman" w:hAnsi="Times New Roman" w:cs="Times New Roman"/>
          <w:sz w:val="24"/>
          <w:szCs w:val="24"/>
          <w:lang w:val="en-GB"/>
        </w:rPr>
        <w:t xml:space="preserve">wage </w:t>
      </w:r>
      <w:r w:rsidR="000319C5">
        <w:rPr>
          <w:rFonts w:ascii="Times New Roman" w:hAnsi="Times New Roman" w:cs="Times New Roman"/>
          <w:sz w:val="24"/>
          <w:szCs w:val="24"/>
          <w:lang w:val="en-GB"/>
        </w:rPr>
        <w:lastRenderedPageBreak/>
        <w:t>setters</w:t>
      </w:r>
      <w:r w:rsidR="00676503">
        <w:rPr>
          <w:rFonts w:ascii="Times New Roman" w:hAnsi="Times New Roman" w:cs="Times New Roman"/>
          <w:sz w:val="24"/>
          <w:szCs w:val="24"/>
          <w:lang w:val="en-GB"/>
        </w:rPr>
        <w:t xml:space="preserve"> </w:t>
      </w:r>
      <w:r w:rsidR="00590F26">
        <w:rPr>
          <w:rFonts w:ascii="Times New Roman" w:hAnsi="Times New Roman" w:cs="Times New Roman"/>
          <w:sz w:val="24"/>
          <w:szCs w:val="24"/>
          <w:lang w:val="en-GB"/>
        </w:rPr>
        <w:t xml:space="preserve">acting </w:t>
      </w:r>
      <w:r w:rsidR="002A5C18">
        <w:rPr>
          <w:rFonts w:ascii="Times New Roman" w:hAnsi="Times New Roman" w:cs="Times New Roman"/>
          <w:sz w:val="24"/>
          <w:szCs w:val="24"/>
          <w:lang w:val="en-GB"/>
        </w:rPr>
        <w:t>in line with</w:t>
      </w:r>
      <w:r w:rsidR="00590F26">
        <w:rPr>
          <w:rFonts w:ascii="Times New Roman" w:hAnsi="Times New Roman" w:cs="Times New Roman"/>
          <w:sz w:val="24"/>
          <w:szCs w:val="24"/>
          <w:lang w:val="en-GB"/>
        </w:rPr>
        <w:t xml:space="preserve"> a Scandinavian</w:t>
      </w:r>
      <w:r w:rsidR="002A5C18">
        <w:rPr>
          <w:rFonts w:ascii="Times New Roman" w:hAnsi="Times New Roman" w:cs="Times New Roman"/>
          <w:sz w:val="24"/>
          <w:szCs w:val="24"/>
          <w:lang w:val="en-GB"/>
        </w:rPr>
        <w:t>-</w:t>
      </w:r>
      <w:r w:rsidR="00590F26">
        <w:rPr>
          <w:rFonts w:ascii="Times New Roman" w:hAnsi="Times New Roman" w:cs="Times New Roman"/>
          <w:sz w:val="24"/>
          <w:szCs w:val="24"/>
          <w:lang w:val="en-GB"/>
        </w:rPr>
        <w:t>model norm</w:t>
      </w:r>
      <w:r w:rsidR="002B6D19">
        <w:rPr>
          <w:rFonts w:ascii="Times New Roman" w:hAnsi="Times New Roman" w:cs="Times New Roman"/>
          <w:sz w:val="24"/>
          <w:szCs w:val="24"/>
          <w:lang w:val="en-GB"/>
        </w:rPr>
        <w:t xml:space="preserve"> by</w:t>
      </w:r>
      <w:r w:rsidR="000319C5">
        <w:rPr>
          <w:rFonts w:ascii="Times New Roman" w:hAnsi="Times New Roman" w:cs="Times New Roman"/>
          <w:sz w:val="24"/>
          <w:szCs w:val="24"/>
          <w:lang w:val="en-GB"/>
        </w:rPr>
        <w:t xml:space="preserve"> trying to gradually</w:t>
      </w:r>
      <w:r w:rsidR="006B07F9">
        <w:rPr>
          <w:rFonts w:ascii="Times New Roman" w:hAnsi="Times New Roman" w:cs="Times New Roman"/>
          <w:sz w:val="24"/>
          <w:szCs w:val="24"/>
          <w:lang w:val="en-GB"/>
        </w:rPr>
        <w:t xml:space="preserve"> adjust wages </w:t>
      </w:r>
      <w:r w:rsidR="00381A12">
        <w:rPr>
          <w:rFonts w:ascii="Times New Roman" w:hAnsi="Times New Roman" w:cs="Times New Roman"/>
          <w:sz w:val="24"/>
          <w:szCs w:val="24"/>
          <w:lang w:val="en-GB"/>
        </w:rPr>
        <w:t xml:space="preserve">to </w:t>
      </w:r>
      <w:r w:rsidR="0020143E">
        <w:rPr>
          <w:rFonts w:ascii="Times New Roman" w:hAnsi="Times New Roman" w:cs="Times New Roman"/>
          <w:sz w:val="24"/>
          <w:szCs w:val="24"/>
          <w:lang w:val="en-GB"/>
        </w:rPr>
        <w:t>the “</w:t>
      </w:r>
      <w:r w:rsidR="00381A12">
        <w:rPr>
          <w:rFonts w:ascii="Times New Roman" w:hAnsi="Times New Roman" w:cs="Times New Roman"/>
          <w:sz w:val="24"/>
          <w:szCs w:val="24"/>
          <w:lang w:val="en-GB"/>
        </w:rPr>
        <w:t>main course</w:t>
      </w:r>
      <w:r w:rsidR="0020143E">
        <w:rPr>
          <w:rFonts w:ascii="Times New Roman" w:hAnsi="Times New Roman" w:cs="Times New Roman"/>
          <w:sz w:val="24"/>
          <w:szCs w:val="24"/>
          <w:lang w:val="en-GB"/>
        </w:rPr>
        <w:t>”</w:t>
      </w:r>
      <w:r w:rsidR="00C95281">
        <w:rPr>
          <w:rFonts w:ascii="Times New Roman" w:hAnsi="Times New Roman" w:cs="Times New Roman"/>
          <w:sz w:val="24"/>
          <w:szCs w:val="24"/>
          <w:lang w:val="en-GB"/>
        </w:rPr>
        <w:t>.</w:t>
      </w:r>
      <w:r w:rsidR="00B16EAF">
        <w:rPr>
          <w:rFonts w:ascii="Times New Roman" w:hAnsi="Times New Roman" w:cs="Times New Roman"/>
          <w:sz w:val="24"/>
          <w:szCs w:val="24"/>
          <w:lang w:val="en-GB"/>
        </w:rPr>
        <w:t xml:space="preserve"> With low unemployment, stability is attained </w:t>
      </w:r>
      <w:r w:rsidR="00786F8F">
        <w:rPr>
          <w:rFonts w:ascii="Times New Roman" w:hAnsi="Times New Roman" w:cs="Times New Roman"/>
          <w:sz w:val="24"/>
          <w:szCs w:val="24"/>
          <w:lang w:val="en-GB"/>
        </w:rPr>
        <w:t xml:space="preserve">at a high wage share, with high unemployment at a </w:t>
      </w:r>
      <w:r w:rsidR="009B06E2">
        <w:rPr>
          <w:rFonts w:ascii="Times New Roman" w:hAnsi="Times New Roman" w:cs="Times New Roman"/>
          <w:sz w:val="24"/>
          <w:szCs w:val="24"/>
          <w:lang w:val="en-GB"/>
        </w:rPr>
        <w:t xml:space="preserve">low wage share. </w:t>
      </w:r>
      <w:r w:rsidR="00697BB0">
        <w:rPr>
          <w:rFonts w:ascii="Times New Roman" w:hAnsi="Times New Roman" w:cs="Times New Roman"/>
          <w:sz w:val="24"/>
          <w:szCs w:val="24"/>
          <w:lang w:val="en-GB"/>
        </w:rPr>
        <w:t>If</w:t>
      </w:r>
      <w:r w:rsidR="00E24840">
        <w:rPr>
          <w:rFonts w:ascii="Times New Roman" w:hAnsi="Times New Roman" w:cs="Times New Roman"/>
          <w:sz w:val="24"/>
          <w:szCs w:val="24"/>
          <w:lang w:val="en-GB"/>
        </w:rPr>
        <w:t xml:space="preserve"> </w:t>
      </w:r>
      <w:r w:rsidR="00E517CD">
        <w:rPr>
          <w:rFonts w:ascii="Times New Roman" w:hAnsi="Times New Roman" w:cs="Times New Roman"/>
          <w:sz w:val="24"/>
          <w:szCs w:val="24"/>
          <w:lang w:val="en-GB"/>
        </w:rPr>
        <w:t xml:space="preserve">wage changes are determined </w:t>
      </w:r>
      <w:r w:rsidR="000C2109">
        <w:rPr>
          <w:rFonts w:ascii="Times New Roman" w:hAnsi="Times New Roman" w:cs="Times New Roman"/>
          <w:sz w:val="24"/>
          <w:szCs w:val="24"/>
          <w:lang w:val="en-GB"/>
        </w:rPr>
        <w:t>in a</w:t>
      </w:r>
      <w:r w:rsidR="002E650A">
        <w:rPr>
          <w:rFonts w:ascii="Times New Roman" w:hAnsi="Times New Roman" w:cs="Times New Roman"/>
          <w:sz w:val="24"/>
          <w:szCs w:val="24"/>
          <w:lang w:val="en-GB"/>
        </w:rPr>
        <w:t xml:space="preserve"> pure</w:t>
      </w:r>
      <w:r w:rsidR="000C2109">
        <w:rPr>
          <w:rFonts w:ascii="Times New Roman" w:hAnsi="Times New Roman" w:cs="Times New Roman"/>
          <w:sz w:val="24"/>
          <w:szCs w:val="24"/>
          <w:lang w:val="en-GB"/>
        </w:rPr>
        <w:t xml:space="preserve"> Phillips-curve </w:t>
      </w:r>
      <w:r w:rsidR="002B6D19">
        <w:rPr>
          <w:rFonts w:ascii="Times New Roman" w:hAnsi="Times New Roman" w:cs="Times New Roman"/>
          <w:sz w:val="24"/>
          <w:szCs w:val="24"/>
          <w:lang w:val="en-GB"/>
        </w:rPr>
        <w:t>fashion</w:t>
      </w:r>
      <w:r w:rsidR="00697BB0">
        <w:rPr>
          <w:rFonts w:ascii="Times New Roman" w:hAnsi="Times New Roman" w:cs="Times New Roman"/>
          <w:sz w:val="24"/>
          <w:szCs w:val="24"/>
          <w:lang w:val="en-GB"/>
        </w:rPr>
        <w:t>,</w:t>
      </w:r>
      <w:r w:rsidR="006D3704">
        <w:rPr>
          <w:rFonts w:ascii="Times New Roman" w:hAnsi="Times New Roman" w:cs="Times New Roman"/>
          <w:sz w:val="24"/>
          <w:szCs w:val="24"/>
          <w:lang w:val="en-GB"/>
        </w:rPr>
        <w:t xml:space="preserve"> </w:t>
      </w:r>
      <w:r w:rsidR="00697BB0">
        <w:rPr>
          <w:rFonts w:ascii="Times New Roman" w:hAnsi="Times New Roman" w:cs="Times New Roman"/>
          <w:sz w:val="24"/>
          <w:szCs w:val="24"/>
          <w:lang w:val="en-GB"/>
        </w:rPr>
        <w:t xml:space="preserve">such </w:t>
      </w:r>
      <w:r w:rsidR="00E52FDD">
        <w:rPr>
          <w:rFonts w:ascii="Times New Roman" w:hAnsi="Times New Roman" w:cs="Times New Roman"/>
          <w:sz w:val="24"/>
          <w:szCs w:val="24"/>
          <w:lang w:val="en-GB"/>
        </w:rPr>
        <w:t xml:space="preserve">stability </w:t>
      </w:r>
      <w:r w:rsidR="0057277B">
        <w:rPr>
          <w:rFonts w:ascii="Times New Roman" w:hAnsi="Times New Roman" w:cs="Times New Roman"/>
          <w:sz w:val="24"/>
          <w:szCs w:val="24"/>
          <w:lang w:val="en-GB"/>
        </w:rPr>
        <w:t xml:space="preserve">is obtained only at a </w:t>
      </w:r>
      <w:r w:rsidR="00795404">
        <w:rPr>
          <w:rFonts w:ascii="Times New Roman" w:hAnsi="Times New Roman" w:cs="Times New Roman"/>
          <w:sz w:val="24"/>
          <w:szCs w:val="24"/>
          <w:lang w:val="en-GB"/>
        </w:rPr>
        <w:t>specific rate of</w:t>
      </w:r>
      <w:r w:rsidR="0057277B">
        <w:rPr>
          <w:rFonts w:ascii="Times New Roman" w:hAnsi="Times New Roman" w:cs="Times New Roman"/>
          <w:sz w:val="24"/>
          <w:szCs w:val="24"/>
          <w:lang w:val="en-GB"/>
        </w:rPr>
        <w:t xml:space="preserve"> unemployment </w:t>
      </w:r>
      <w:r w:rsidR="00EA30E1">
        <w:rPr>
          <w:rFonts w:ascii="Times New Roman" w:hAnsi="Times New Roman" w:cs="Times New Roman"/>
          <w:sz w:val="24"/>
          <w:szCs w:val="24"/>
          <w:lang w:val="en-GB"/>
        </w:rPr>
        <w:t>(</w:t>
      </w:r>
      <w:r w:rsidR="002E650A">
        <w:rPr>
          <w:rFonts w:ascii="Times New Roman" w:hAnsi="Times New Roman" w:cs="Times New Roman"/>
          <w:sz w:val="24"/>
          <w:szCs w:val="24"/>
          <w:lang w:val="en-GB"/>
        </w:rPr>
        <w:t xml:space="preserve">the </w:t>
      </w:r>
      <w:r w:rsidR="00EA30E1">
        <w:rPr>
          <w:rFonts w:ascii="Times New Roman" w:hAnsi="Times New Roman" w:cs="Times New Roman"/>
          <w:sz w:val="24"/>
          <w:szCs w:val="24"/>
          <w:lang w:val="en-GB"/>
        </w:rPr>
        <w:t>NAIRU</w:t>
      </w:r>
      <w:r w:rsidR="00C74D11">
        <w:rPr>
          <w:rFonts w:ascii="Times New Roman" w:hAnsi="Times New Roman" w:cs="Times New Roman"/>
          <w:sz w:val="24"/>
          <w:szCs w:val="24"/>
          <w:lang w:val="en-GB"/>
        </w:rPr>
        <w:t>).</w:t>
      </w:r>
    </w:p>
    <w:p w14:paraId="129DED18" w14:textId="4BEC6C9A" w:rsidR="00046B4B" w:rsidRDefault="00725C18" w:rsidP="00CE6F0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Bj</w:t>
      </w:r>
      <w:r w:rsidRPr="00B81E82">
        <w:rPr>
          <w:rFonts w:ascii="Times New Roman" w:hAnsi="Times New Roman" w:cs="Times New Roman"/>
          <w:sz w:val="24"/>
          <w:szCs w:val="24"/>
          <w:lang w:val="en-GB"/>
        </w:rPr>
        <w:t>ø</w:t>
      </w:r>
      <w:r>
        <w:rPr>
          <w:rFonts w:ascii="Times New Roman" w:hAnsi="Times New Roman" w:cs="Times New Roman"/>
          <w:sz w:val="24"/>
          <w:szCs w:val="24"/>
          <w:lang w:val="en-GB"/>
        </w:rPr>
        <w:t xml:space="preserve">rnstad (2023) </w:t>
      </w:r>
      <w:r w:rsidR="005E348A">
        <w:rPr>
          <w:rFonts w:ascii="Times New Roman" w:hAnsi="Times New Roman" w:cs="Times New Roman"/>
          <w:sz w:val="24"/>
          <w:szCs w:val="24"/>
          <w:lang w:val="en-GB"/>
        </w:rPr>
        <w:t>argues</w:t>
      </w:r>
      <w:r w:rsidR="00597269">
        <w:rPr>
          <w:rFonts w:ascii="Times New Roman" w:hAnsi="Times New Roman" w:cs="Times New Roman"/>
          <w:sz w:val="24"/>
          <w:szCs w:val="24"/>
          <w:lang w:val="en-GB"/>
        </w:rPr>
        <w:t xml:space="preserve"> </w:t>
      </w:r>
      <w:r w:rsidR="00F7246F">
        <w:rPr>
          <w:rFonts w:ascii="Times New Roman" w:hAnsi="Times New Roman" w:cs="Times New Roman"/>
          <w:sz w:val="24"/>
          <w:szCs w:val="24"/>
          <w:lang w:val="en-GB"/>
        </w:rPr>
        <w:t>that</w:t>
      </w:r>
      <w:r w:rsidR="0049761B">
        <w:rPr>
          <w:rFonts w:ascii="Times New Roman" w:hAnsi="Times New Roman" w:cs="Times New Roman"/>
          <w:sz w:val="24"/>
          <w:szCs w:val="24"/>
          <w:lang w:val="en-GB"/>
        </w:rPr>
        <w:t>, under inflation targeting,</w:t>
      </w:r>
      <w:r w:rsidR="00F7246F">
        <w:rPr>
          <w:rFonts w:ascii="Times New Roman" w:hAnsi="Times New Roman" w:cs="Times New Roman"/>
          <w:sz w:val="24"/>
          <w:szCs w:val="24"/>
          <w:lang w:val="en-GB"/>
        </w:rPr>
        <w:t xml:space="preserve"> wage formation according to the Scandinavian model</w:t>
      </w:r>
      <w:r w:rsidR="009D0704">
        <w:rPr>
          <w:rFonts w:ascii="Times New Roman" w:hAnsi="Times New Roman" w:cs="Times New Roman"/>
          <w:sz w:val="24"/>
          <w:szCs w:val="24"/>
          <w:lang w:val="en-GB"/>
        </w:rPr>
        <w:t xml:space="preserve"> by itself</w:t>
      </w:r>
      <w:r w:rsidR="00F7246F">
        <w:rPr>
          <w:rFonts w:ascii="Times New Roman" w:hAnsi="Times New Roman" w:cs="Times New Roman"/>
          <w:sz w:val="24"/>
          <w:szCs w:val="24"/>
          <w:lang w:val="en-GB"/>
        </w:rPr>
        <w:t xml:space="preserve"> </w:t>
      </w:r>
      <w:r w:rsidR="009C29BC">
        <w:rPr>
          <w:rFonts w:ascii="Times New Roman" w:hAnsi="Times New Roman" w:cs="Times New Roman"/>
          <w:sz w:val="24"/>
          <w:szCs w:val="24"/>
          <w:lang w:val="en-GB"/>
        </w:rPr>
        <w:t>eliminates the risk that</w:t>
      </w:r>
      <w:r w:rsidR="00807063">
        <w:rPr>
          <w:rFonts w:ascii="Times New Roman" w:hAnsi="Times New Roman" w:cs="Times New Roman"/>
          <w:sz w:val="24"/>
          <w:szCs w:val="24"/>
          <w:lang w:val="en-GB"/>
        </w:rPr>
        <w:t xml:space="preserve"> a bout of</w:t>
      </w:r>
      <w:r w:rsidR="009C29BC">
        <w:rPr>
          <w:rFonts w:ascii="Times New Roman" w:hAnsi="Times New Roman" w:cs="Times New Roman"/>
          <w:sz w:val="24"/>
          <w:szCs w:val="24"/>
          <w:lang w:val="en-GB"/>
        </w:rPr>
        <w:t xml:space="preserve"> </w:t>
      </w:r>
      <w:r w:rsidR="00E41362">
        <w:rPr>
          <w:rFonts w:ascii="Times New Roman" w:hAnsi="Times New Roman" w:cs="Times New Roman"/>
          <w:sz w:val="24"/>
          <w:szCs w:val="24"/>
          <w:lang w:val="en-GB"/>
        </w:rPr>
        <w:t>foreign inflation could trigger a domestic wage</w:t>
      </w:r>
      <w:r w:rsidR="009D0704">
        <w:rPr>
          <w:rFonts w:ascii="Times New Roman" w:hAnsi="Times New Roman" w:cs="Times New Roman"/>
          <w:sz w:val="24"/>
          <w:szCs w:val="24"/>
          <w:lang w:val="en-GB"/>
        </w:rPr>
        <w:t>-price spiral</w:t>
      </w:r>
      <w:r w:rsidR="00807063">
        <w:rPr>
          <w:rFonts w:ascii="Times New Roman" w:hAnsi="Times New Roman" w:cs="Times New Roman"/>
          <w:sz w:val="24"/>
          <w:szCs w:val="24"/>
          <w:lang w:val="en-GB"/>
        </w:rPr>
        <w:t>,</w:t>
      </w:r>
      <w:r w:rsidR="009D0704">
        <w:rPr>
          <w:rFonts w:ascii="Times New Roman" w:hAnsi="Times New Roman" w:cs="Times New Roman"/>
          <w:sz w:val="24"/>
          <w:szCs w:val="24"/>
          <w:lang w:val="en-GB"/>
        </w:rPr>
        <w:t xml:space="preserve"> </w:t>
      </w:r>
      <w:r w:rsidR="002D58E7">
        <w:rPr>
          <w:rFonts w:ascii="Times New Roman" w:hAnsi="Times New Roman" w:cs="Times New Roman"/>
          <w:sz w:val="24"/>
          <w:szCs w:val="24"/>
          <w:lang w:val="en-GB"/>
        </w:rPr>
        <w:t xml:space="preserve">because </w:t>
      </w:r>
      <w:r w:rsidR="007178A2">
        <w:rPr>
          <w:rFonts w:ascii="Times New Roman" w:hAnsi="Times New Roman" w:cs="Times New Roman"/>
          <w:sz w:val="24"/>
          <w:szCs w:val="24"/>
          <w:lang w:val="en-GB"/>
        </w:rPr>
        <w:t xml:space="preserve">when </w:t>
      </w:r>
      <w:r w:rsidR="009918A0">
        <w:rPr>
          <w:rFonts w:ascii="Times New Roman" w:hAnsi="Times New Roman" w:cs="Times New Roman"/>
          <w:sz w:val="24"/>
          <w:szCs w:val="24"/>
          <w:lang w:val="en-GB"/>
        </w:rPr>
        <w:t>wages h</w:t>
      </w:r>
      <w:r w:rsidR="005E6BE6">
        <w:rPr>
          <w:rFonts w:ascii="Times New Roman" w:hAnsi="Times New Roman" w:cs="Times New Roman"/>
          <w:sz w:val="24"/>
          <w:szCs w:val="24"/>
          <w:lang w:val="en-GB"/>
        </w:rPr>
        <w:t>ave adjusted to the higher prices of tradables</w:t>
      </w:r>
      <w:r w:rsidR="004200AE">
        <w:rPr>
          <w:rFonts w:ascii="Times New Roman" w:hAnsi="Times New Roman" w:cs="Times New Roman"/>
          <w:sz w:val="24"/>
          <w:szCs w:val="24"/>
          <w:lang w:val="en-GB"/>
        </w:rPr>
        <w:t>,</w:t>
      </w:r>
      <w:r w:rsidR="005E6BE6">
        <w:rPr>
          <w:rFonts w:ascii="Times New Roman" w:hAnsi="Times New Roman" w:cs="Times New Roman"/>
          <w:sz w:val="24"/>
          <w:szCs w:val="24"/>
          <w:lang w:val="en-GB"/>
        </w:rPr>
        <w:t xml:space="preserve"> no further </w:t>
      </w:r>
      <w:r w:rsidR="00D36C16">
        <w:rPr>
          <w:rFonts w:ascii="Times New Roman" w:hAnsi="Times New Roman" w:cs="Times New Roman"/>
          <w:sz w:val="24"/>
          <w:szCs w:val="24"/>
          <w:lang w:val="en-GB"/>
        </w:rPr>
        <w:t xml:space="preserve">wage responses </w:t>
      </w:r>
      <w:r w:rsidR="006F57E3">
        <w:rPr>
          <w:rFonts w:ascii="Times New Roman" w:hAnsi="Times New Roman" w:cs="Times New Roman"/>
          <w:sz w:val="24"/>
          <w:szCs w:val="24"/>
          <w:lang w:val="en-GB"/>
        </w:rPr>
        <w:t>to the higher CP</w:t>
      </w:r>
      <w:r w:rsidR="001F0E2B">
        <w:rPr>
          <w:rFonts w:ascii="Times New Roman" w:hAnsi="Times New Roman" w:cs="Times New Roman"/>
          <w:sz w:val="24"/>
          <w:szCs w:val="24"/>
          <w:lang w:val="en-GB"/>
        </w:rPr>
        <w:t xml:space="preserve">I level induced by subsequent increases in prices of nontradables would </w:t>
      </w:r>
      <w:r w:rsidR="00D36C16">
        <w:rPr>
          <w:rFonts w:ascii="Times New Roman" w:hAnsi="Times New Roman" w:cs="Times New Roman"/>
          <w:sz w:val="24"/>
          <w:szCs w:val="24"/>
          <w:lang w:val="en-GB"/>
        </w:rPr>
        <w:t>o</w:t>
      </w:r>
      <w:r w:rsidR="001F0E2B">
        <w:rPr>
          <w:rFonts w:ascii="Times New Roman" w:hAnsi="Times New Roman" w:cs="Times New Roman"/>
          <w:sz w:val="24"/>
          <w:szCs w:val="24"/>
          <w:lang w:val="en-GB"/>
        </w:rPr>
        <w:t>ccur</w:t>
      </w:r>
      <w:r w:rsidR="003F40DD">
        <w:rPr>
          <w:rFonts w:ascii="Times New Roman" w:hAnsi="Times New Roman" w:cs="Times New Roman"/>
          <w:sz w:val="24"/>
          <w:szCs w:val="24"/>
          <w:lang w:val="en-GB"/>
        </w:rPr>
        <w:t>.</w:t>
      </w:r>
      <w:r w:rsidR="000557A8">
        <w:rPr>
          <w:rFonts w:ascii="Times New Roman" w:hAnsi="Times New Roman" w:cs="Times New Roman"/>
          <w:sz w:val="24"/>
          <w:szCs w:val="24"/>
          <w:lang w:val="en-GB"/>
        </w:rPr>
        <w:t xml:space="preserve"> Hence, </w:t>
      </w:r>
      <w:r w:rsidR="00172A11">
        <w:rPr>
          <w:rFonts w:ascii="Times New Roman" w:hAnsi="Times New Roman" w:cs="Times New Roman"/>
          <w:sz w:val="24"/>
          <w:szCs w:val="24"/>
          <w:lang w:val="en-GB"/>
        </w:rPr>
        <w:t xml:space="preserve">such a foreign inflation shock would not require any interest </w:t>
      </w:r>
      <w:r w:rsidR="009F4320">
        <w:rPr>
          <w:rFonts w:ascii="Times New Roman" w:hAnsi="Times New Roman" w:cs="Times New Roman"/>
          <w:sz w:val="24"/>
          <w:szCs w:val="24"/>
          <w:lang w:val="en-GB"/>
        </w:rPr>
        <w:t>hikes</w:t>
      </w:r>
      <w:r w:rsidR="00172A11">
        <w:rPr>
          <w:rFonts w:ascii="Times New Roman" w:hAnsi="Times New Roman" w:cs="Times New Roman"/>
          <w:sz w:val="24"/>
          <w:szCs w:val="24"/>
          <w:lang w:val="en-GB"/>
        </w:rPr>
        <w:t xml:space="preserve"> </w:t>
      </w:r>
      <w:r w:rsidR="000C438C">
        <w:rPr>
          <w:rFonts w:ascii="Times New Roman" w:hAnsi="Times New Roman" w:cs="Times New Roman"/>
          <w:sz w:val="24"/>
          <w:szCs w:val="24"/>
          <w:lang w:val="en-GB"/>
        </w:rPr>
        <w:t xml:space="preserve">to stem </w:t>
      </w:r>
      <w:r w:rsidR="00F10A5C">
        <w:rPr>
          <w:rFonts w:ascii="Times New Roman" w:hAnsi="Times New Roman" w:cs="Times New Roman"/>
          <w:sz w:val="24"/>
          <w:szCs w:val="24"/>
          <w:lang w:val="en-GB"/>
        </w:rPr>
        <w:t>additional domestic wage and price increases</w:t>
      </w:r>
      <w:r w:rsidR="002E32E4">
        <w:rPr>
          <w:rFonts w:ascii="Times New Roman" w:hAnsi="Times New Roman" w:cs="Times New Roman"/>
          <w:sz w:val="24"/>
          <w:szCs w:val="24"/>
          <w:lang w:val="en-GB"/>
        </w:rPr>
        <w:t>.</w:t>
      </w:r>
      <w:r w:rsidR="003F40DD">
        <w:rPr>
          <w:rFonts w:ascii="Times New Roman" w:hAnsi="Times New Roman" w:cs="Times New Roman"/>
          <w:sz w:val="24"/>
          <w:szCs w:val="24"/>
          <w:lang w:val="en-GB"/>
        </w:rPr>
        <w:t xml:space="preserve"> This view has been criticised by</w:t>
      </w:r>
      <w:r w:rsidR="00241508">
        <w:rPr>
          <w:rFonts w:ascii="Times New Roman" w:hAnsi="Times New Roman" w:cs="Times New Roman"/>
          <w:sz w:val="24"/>
          <w:szCs w:val="24"/>
          <w:lang w:val="en-GB"/>
        </w:rPr>
        <w:t xml:space="preserve"> </w:t>
      </w:r>
      <w:r w:rsidR="00D65A47">
        <w:rPr>
          <w:rFonts w:ascii="Times New Roman" w:hAnsi="Times New Roman" w:cs="Times New Roman"/>
          <w:sz w:val="24"/>
          <w:szCs w:val="24"/>
          <w:lang w:val="en-GB"/>
        </w:rPr>
        <w:t>R</w:t>
      </w:r>
      <w:r w:rsidR="00D65A47" w:rsidRPr="00D65A47">
        <w:rPr>
          <w:rFonts w:ascii="Times New Roman" w:hAnsi="Times New Roman" w:cs="Times New Roman"/>
          <w:sz w:val="24"/>
          <w:szCs w:val="24"/>
          <w:lang w:val="en-GB"/>
        </w:rPr>
        <w:t>ø</w:t>
      </w:r>
      <w:r w:rsidR="00D65A47">
        <w:rPr>
          <w:rFonts w:ascii="Times New Roman" w:hAnsi="Times New Roman" w:cs="Times New Roman"/>
          <w:sz w:val="24"/>
          <w:szCs w:val="24"/>
          <w:lang w:val="en-GB"/>
        </w:rPr>
        <w:t>island (2023a</w:t>
      </w:r>
      <w:r w:rsidR="003F40DD">
        <w:rPr>
          <w:rFonts w:ascii="Times New Roman" w:hAnsi="Times New Roman" w:cs="Times New Roman"/>
          <w:sz w:val="24"/>
          <w:szCs w:val="24"/>
          <w:lang w:val="en-GB"/>
        </w:rPr>
        <w:t>)</w:t>
      </w:r>
      <w:r w:rsidR="001866A7">
        <w:rPr>
          <w:rFonts w:ascii="Times New Roman" w:hAnsi="Times New Roman" w:cs="Times New Roman"/>
          <w:sz w:val="24"/>
          <w:szCs w:val="24"/>
          <w:lang w:val="en-GB"/>
        </w:rPr>
        <w:t xml:space="preserve"> for implicitly assuming a fixed exchange rate.</w:t>
      </w:r>
      <w:r w:rsidR="009C6946">
        <w:rPr>
          <w:rStyle w:val="FootnoteReference"/>
          <w:rFonts w:ascii="Times New Roman" w:hAnsi="Times New Roman" w:cs="Times New Roman"/>
          <w:sz w:val="24"/>
          <w:szCs w:val="24"/>
          <w:lang w:val="en-GB"/>
        </w:rPr>
        <w:footnoteReference w:id="15"/>
      </w:r>
      <w:r w:rsidR="003F40DD">
        <w:rPr>
          <w:rFonts w:ascii="Times New Roman" w:hAnsi="Times New Roman" w:cs="Times New Roman"/>
          <w:sz w:val="24"/>
          <w:szCs w:val="24"/>
          <w:lang w:val="en-GB"/>
        </w:rPr>
        <w:t xml:space="preserve"> </w:t>
      </w:r>
    </w:p>
    <w:p w14:paraId="3A661535" w14:textId="77777777" w:rsidR="0018261D" w:rsidRDefault="0086214B" w:rsidP="00CE6F0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Acco</w:t>
      </w:r>
      <w:r w:rsidR="002E32E4">
        <w:rPr>
          <w:rFonts w:ascii="Times New Roman" w:hAnsi="Times New Roman" w:cs="Times New Roman"/>
          <w:sz w:val="24"/>
          <w:szCs w:val="24"/>
          <w:lang w:val="en-GB"/>
        </w:rPr>
        <w:t>rdin</w:t>
      </w:r>
      <w:r w:rsidR="001F14B2">
        <w:rPr>
          <w:rFonts w:ascii="Times New Roman" w:hAnsi="Times New Roman" w:cs="Times New Roman"/>
          <w:sz w:val="24"/>
          <w:szCs w:val="24"/>
          <w:lang w:val="en-GB"/>
        </w:rPr>
        <w:t xml:space="preserve">g to </w:t>
      </w:r>
      <w:r w:rsidR="00306593">
        <w:rPr>
          <w:rFonts w:ascii="Times New Roman" w:hAnsi="Times New Roman" w:cs="Times New Roman"/>
          <w:sz w:val="24"/>
          <w:szCs w:val="24"/>
          <w:lang w:val="en-GB"/>
        </w:rPr>
        <w:t>R</w:t>
      </w:r>
      <w:r w:rsidR="00306593" w:rsidRPr="00D65A47">
        <w:rPr>
          <w:rFonts w:ascii="Times New Roman" w:hAnsi="Times New Roman" w:cs="Times New Roman"/>
          <w:sz w:val="24"/>
          <w:szCs w:val="24"/>
          <w:lang w:val="en-GB"/>
        </w:rPr>
        <w:t>ø</w:t>
      </w:r>
      <w:r w:rsidR="00306593">
        <w:rPr>
          <w:rFonts w:ascii="Times New Roman" w:hAnsi="Times New Roman" w:cs="Times New Roman"/>
          <w:sz w:val="24"/>
          <w:szCs w:val="24"/>
          <w:lang w:val="en-GB"/>
        </w:rPr>
        <w:t>island</w:t>
      </w:r>
      <w:r w:rsidR="001F14B2">
        <w:rPr>
          <w:rFonts w:ascii="Times New Roman" w:hAnsi="Times New Roman" w:cs="Times New Roman"/>
          <w:sz w:val="24"/>
          <w:szCs w:val="24"/>
          <w:lang w:val="en-GB"/>
        </w:rPr>
        <w:t xml:space="preserve">, </w:t>
      </w:r>
      <w:r w:rsidR="000F36A3">
        <w:rPr>
          <w:rFonts w:ascii="Times New Roman" w:hAnsi="Times New Roman" w:cs="Times New Roman"/>
          <w:sz w:val="24"/>
          <w:szCs w:val="24"/>
          <w:lang w:val="en-GB"/>
        </w:rPr>
        <w:t>holding the interest rate constant</w:t>
      </w:r>
      <w:r w:rsidR="00046870">
        <w:rPr>
          <w:rFonts w:ascii="Times New Roman" w:hAnsi="Times New Roman" w:cs="Times New Roman"/>
          <w:sz w:val="24"/>
          <w:szCs w:val="24"/>
          <w:lang w:val="en-GB"/>
        </w:rPr>
        <w:t xml:space="preserve"> in the above case</w:t>
      </w:r>
      <w:r w:rsidR="000F36A3">
        <w:rPr>
          <w:rFonts w:ascii="Times New Roman" w:hAnsi="Times New Roman" w:cs="Times New Roman"/>
          <w:sz w:val="24"/>
          <w:szCs w:val="24"/>
          <w:lang w:val="en-GB"/>
        </w:rPr>
        <w:t xml:space="preserve"> wo</w:t>
      </w:r>
      <w:r w:rsidR="00644591">
        <w:rPr>
          <w:rFonts w:ascii="Times New Roman" w:hAnsi="Times New Roman" w:cs="Times New Roman"/>
          <w:sz w:val="24"/>
          <w:szCs w:val="24"/>
          <w:lang w:val="en-GB"/>
        </w:rPr>
        <w:t xml:space="preserve">uld result in an exchange rate depreciation </w:t>
      </w:r>
      <w:r w:rsidR="005F76D5">
        <w:rPr>
          <w:rFonts w:ascii="Times New Roman" w:hAnsi="Times New Roman" w:cs="Times New Roman"/>
          <w:sz w:val="24"/>
          <w:szCs w:val="24"/>
          <w:lang w:val="en-GB"/>
        </w:rPr>
        <w:t xml:space="preserve">causing </w:t>
      </w:r>
      <w:r w:rsidR="00CC6B7A">
        <w:rPr>
          <w:rFonts w:ascii="Times New Roman" w:hAnsi="Times New Roman" w:cs="Times New Roman"/>
          <w:sz w:val="24"/>
          <w:szCs w:val="24"/>
          <w:lang w:val="en-GB"/>
        </w:rPr>
        <w:t>further</w:t>
      </w:r>
      <w:r w:rsidR="00C42A2C">
        <w:rPr>
          <w:rFonts w:ascii="Times New Roman" w:hAnsi="Times New Roman" w:cs="Times New Roman"/>
          <w:sz w:val="24"/>
          <w:szCs w:val="24"/>
          <w:lang w:val="en-GB"/>
        </w:rPr>
        <w:t xml:space="preserve"> wage increases in the tradables sector </w:t>
      </w:r>
      <w:r w:rsidR="008A4007">
        <w:rPr>
          <w:rFonts w:ascii="Times New Roman" w:hAnsi="Times New Roman" w:cs="Times New Roman"/>
          <w:sz w:val="24"/>
          <w:szCs w:val="24"/>
          <w:lang w:val="en-GB"/>
        </w:rPr>
        <w:t>to counteract falls in the wage</w:t>
      </w:r>
      <w:r w:rsidR="006134DB">
        <w:rPr>
          <w:rFonts w:ascii="Times New Roman" w:hAnsi="Times New Roman" w:cs="Times New Roman"/>
          <w:sz w:val="24"/>
          <w:szCs w:val="24"/>
          <w:lang w:val="en-GB"/>
        </w:rPr>
        <w:t xml:space="preserve"> share.</w:t>
      </w:r>
      <w:r w:rsidR="006C1285">
        <w:rPr>
          <w:rFonts w:ascii="Times New Roman" w:hAnsi="Times New Roman" w:cs="Times New Roman"/>
          <w:sz w:val="24"/>
          <w:szCs w:val="24"/>
          <w:lang w:val="en-GB"/>
        </w:rPr>
        <w:t xml:space="preserve"> To stop such a wage-</w:t>
      </w:r>
      <w:r w:rsidR="004A2905">
        <w:rPr>
          <w:rFonts w:ascii="Times New Roman" w:hAnsi="Times New Roman" w:cs="Times New Roman"/>
          <w:sz w:val="24"/>
          <w:szCs w:val="24"/>
          <w:lang w:val="en-GB"/>
        </w:rPr>
        <w:t>exchange rate spiral, the central bank must raise the</w:t>
      </w:r>
      <w:r w:rsidR="005F76D5">
        <w:rPr>
          <w:rFonts w:ascii="Times New Roman" w:hAnsi="Times New Roman" w:cs="Times New Roman"/>
          <w:sz w:val="24"/>
          <w:szCs w:val="24"/>
          <w:lang w:val="en-GB"/>
        </w:rPr>
        <w:t xml:space="preserve"> interest rate </w:t>
      </w:r>
      <w:r w:rsidR="00D11C0A">
        <w:rPr>
          <w:rFonts w:ascii="Times New Roman" w:hAnsi="Times New Roman" w:cs="Times New Roman"/>
          <w:sz w:val="24"/>
          <w:szCs w:val="24"/>
          <w:lang w:val="en-GB"/>
        </w:rPr>
        <w:t xml:space="preserve">sufficiently. </w:t>
      </w:r>
      <w:r w:rsidR="004071EE">
        <w:rPr>
          <w:rFonts w:ascii="Times New Roman" w:hAnsi="Times New Roman" w:cs="Times New Roman"/>
          <w:sz w:val="24"/>
          <w:szCs w:val="24"/>
          <w:lang w:val="en-GB"/>
        </w:rPr>
        <w:t xml:space="preserve">The interest rate rise required </w:t>
      </w:r>
      <w:r w:rsidR="001F6B87">
        <w:rPr>
          <w:rFonts w:ascii="Times New Roman" w:hAnsi="Times New Roman" w:cs="Times New Roman"/>
          <w:sz w:val="24"/>
          <w:szCs w:val="24"/>
          <w:lang w:val="en-GB"/>
        </w:rPr>
        <w:t>is</w:t>
      </w:r>
      <w:r w:rsidR="00910A1D">
        <w:rPr>
          <w:rFonts w:ascii="Times New Roman" w:hAnsi="Times New Roman" w:cs="Times New Roman"/>
          <w:sz w:val="24"/>
          <w:szCs w:val="24"/>
          <w:lang w:val="en-GB"/>
        </w:rPr>
        <w:t xml:space="preserve"> lower </w:t>
      </w:r>
      <w:r w:rsidR="00F50EAC">
        <w:rPr>
          <w:rFonts w:ascii="Times New Roman" w:hAnsi="Times New Roman" w:cs="Times New Roman"/>
          <w:sz w:val="24"/>
          <w:szCs w:val="24"/>
          <w:lang w:val="en-GB"/>
        </w:rPr>
        <w:t>if wage</w:t>
      </w:r>
      <w:r w:rsidR="001F6B87">
        <w:rPr>
          <w:rFonts w:ascii="Times New Roman" w:hAnsi="Times New Roman" w:cs="Times New Roman"/>
          <w:sz w:val="24"/>
          <w:szCs w:val="24"/>
          <w:lang w:val="en-GB"/>
        </w:rPr>
        <w:t>s</w:t>
      </w:r>
      <w:r w:rsidR="00F50EAC">
        <w:rPr>
          <w:rFonts w:ascii="Times New Roman" w:hAnsi="Times New Roman" w:cs="Times New Roman"/>
          <w:sz w:val="24"/>
          <w:szCs w:val="24"/>
          <w:lang w:val="en-GB"/>
        </w:rPr>
        <w:t xml:space="preserve"> are linked not only to </w:t>
      </w:r>
      <w:r w:rsidR="00DE5AF2">
        <w:rPr>
          <w:rFonts w:ascii="Times New Roman" w:hAnsi="Times New Roman" w:cs="Times New Roman"/>
          <w:sz w:val="24"/>
          <w:szCs w:val="24"/>
          <w:lang w:val="en-GB"/>
        </w:rPr>
        <w:t xml:space="preserve">the </w:t>
      </w:r>
      <w:r w:rsidR="00F50EAC">
        <w:rPr>
          <w:rFonts w:ascii="Times New Roman" w:hAnsi="Times New Roman" w:cs="Times New Roman"/>
          <w:sz w:val="24"/>
          <w:szCs w:val="24"/>
          <w:lang w:val="en-GB"/>
        </w:rPr>
        <w:t xml:space="preserve">price of tradables </w:t>
      </w:r>
      <w:r w:rsidR="003B4B68">
        <w:rPr>
          <w:rFonts w:ascii="Times New Roman" w:hAnsi="Times New Roman" w:cs="Times New Roman"/>
          <w:sz w:val="24"/>
          <w:szCs w:val="24"/>
          <w:lang w:val="en-GB"/>
        </w:rPr>
        <w:t>but also to the CPI.</w:t>
      </w:r>
      <w:r w:rsidR="00DA595A">
        <w:rPr>
          <w:rFonts w:ascii="Times New Roman" w:hAnsi="Times New Roman" w:cs="Times New Roman"/>
          <w:sz w:val="24"/>
          <w:szCs w:val="24"/>
          <w:lang w:val="en-GB"/>
        </w:rPr>
        <w:t xml:space="preserve"> </w:t>
      </w:r>
      <w:r w:rsidR="00186AD5">
        <w:rPr>
          <w:rFonts w:ascii="Times New Roman" w:hAnsi="Times New Roman" w:cs="Times New Roman"/>
          <w:sz w:val="24"/>
          <w:szCs w:val="24"/>
          <w:lang w:val="en-GB"/>
        </w:rPr>
        <w:t>This is because</w:t>
      </w:r>
      <w:r w:rsidR="00DA595A">
        <w:rPr>
          <w:rFonts w:ascii="Times New Roman" w:hAnsi="Times New Roman" w:cs="Times New Roman"/>
          <w:sz w:val="24"/>
          <w:szCs w:val="24"/>
          <w:lang w:val="en-GB"/>
        </w:rPr>
        <w:t xml:space="preserve"> the interest </w:t>
      </w:r>
      <w:r w:rsidR="008D41DA">
        <w:rPr>
          <w:rFonts w:ascii="Times New Roman" w:hAnsi="Times New Roman" w:cs="Times New Roman"/>
          <w:sz w:val="24"/>
          <w:szCs w:val="24"/>
          <w:lang w:val="en-GB"/>
        </w:rPr>
        <w:t>rate increase then not only stre</w:t>
      </w:r>
      <w:r w:rsidR="00B97323">
        <w:rPr>
          <w:rFonts w:ascii="Times New Roman" w:hAnsi="Times New Roman" w:cs="Times New Roman"/>
          <w:sz w:val="24"/>
          <w:szCs w:val="24"/>
          <w:lang w:val="en-GB"/>
        </w:rPr>
        <w:t>n</w:t>
      </w:r>
      <w:r w:rsidR="008D41DA">
        <w:rPr>
          <w:rFonts w:ascii="Times New Roman" w:hAnsi="Times New Roman" w:cs="Times New Roman"/>
          <w:sz w:val="24"/>
          <w:szCs w:val="24"/>
          <w:lang w:val="en-GB"/>
        </w:rPr>
        <w:t xml:space="preserve">gthens the exchange rate </w:t>
      </w:r>
      <w:r w:rsidR="006F0C09">
        <w:rPr>
          <w:rFonts w:ascii="Times New Roman" w:hAnsi="Times New Roman" w:cs="Times New Roman"/>
          <w:sz w:val="24"/>
          <w:szCs w:val="24"/>
          <w:lang w:val="en-GB"/>
        </w:rPr>
        <w:t xml:space="preserve">and thus limits </w:t>
      </w:r>
      <w:r w:rsidR="007E1373">
        <w:rPr>
          <w:rFonts w:ascii="Times New Roman" w:hAnsi="Times New Roman" w:cs="Times New Roman"/>
          <w:sz w:val="24"/>
          <w:szCs w:val="24"/>
          <w:lang w:val="en-GB"/>
        </w:rPr>
        <w:t>the price increase</w:t>
      </w:r>
      <w:r w:rsidR="006F0C09">
        <w:rPr>
          <w:rFonts w:ascii="Times New Roman" w:hAnsi="Times New Roman" w:cs="Times New Roman"/>
          <w:sz w:val="24"/>
          <w:szCs w:val="24"/>
          <w:lang w:val="en-GB"/>
        </w:rPr>
        <w:t xml:space="preserve"> for tradables, </w:t>
      </w:r>
      <w:r w:rsidR="008D41DA">
        <w:rPr>
          <w:rFonts w:ascii="Times New Roman" w:hAnsi="Times New Roman" w:cs="Times New Roman"/>
          <w:sz w:val="24"/>
          <w:szCs w:val="24"/>
          <w:lang w:val="en-GB"/>
        </w:rPr>
        <w:t xml:space="preserve">but </w:t>
      </w:r>
      <w:r w:rsidR="00B97323">
        <w:rPr>
          <w:rFonts w:ascii="Times New Roman" w:hAnsi="Times New Roman" w:cs="Times New Roman"/>
          <w:sz w:val="24"/>
          <w:szCs w:val="24"/>
          <w:lang w:val="en-GB"/>
        </w:rPr>
        <w:t>also</w:t>
      </w:r>
      <w:r w:rsidR="0021172C">
        <w:rPr>
          <w:rFonts w:ascii="Times New Roman" w:hAnsi="Times New Roman" w:cs="Times New Roman"/>
          <w:sz w:val="24"/>
          <w:szCs w:val="24"/>
          <w:lang w:val="en-GB"/>
        </w:rPr>
        <w:t>,</w:t>
      </w:r>
      <w:r w:rsidR="00F50EAC">
        <w:rPr>
          <w:rFonts w:ascii="Times New Roman" w:hAnsi="Times New Roman" w:cs="Times New Roman"/>
          <w:sz w:val="24"/>
          <w:szCs w:val="24"/>
          <w:lang w:val="en-GB"/>
        </w:rPr>
        <w:t xml:space="preserve"> </w:t>
      </w:r>
      <w:r w:rsidR="0021172C">
        <w:rPr>
          <w:rFonts w:ascii="Times New Roman" w:hAnsi="Times New Roman" w:cs="Times New Roman"/>
          <w:sz w:val="24"/>
          <w:szCs w:val="24"/>
          <w:lang w:val="en-GB"/>
        </w:rPr>
        <w:t xml:space="preserve">by </w:t>
      </w:r>
      <w:r w:rsidR="00782C47">
        <w:rPr>
          <w:rFonts w:ascii="Times New Roman" w:hAnsi="Times New Roman" w:cs="Times New Roman"/>
          <w:sz w:val="24"/>
          <w:szCs w:val="24"/>
          <w:lang w:val="en-GB"/>
        </w:rPr>
        <w:t>decreasing</w:t>
      </w:r>
      <w:r w:rsidR="0021172C">
        <w:rPr>
          <w:rFonts w:ascii="Times New Roman" w:hAnsi="Times New Roman" w:cs="Times New Roman"/>
          <w:sz w:val="24"/>
          <w:szCs w:val="24"/>
          <w:lang w:val="en-GB"/>
        </w:rPr>
        <w:t xml:space="preserve"> </w:t>
      </w:r>
      <w:r w:rsidR="000814E9">
        <w:rPr>
          <w:rFonts w:ascii="Times New Roman" w:hAnsi="Times New Roman" w:cs="Times New Roman"/>
          <w:sz w:val="24"/>
          <w:szCs w:val="24"/>
          <w:lang w:val="en-GB"/>
        </w:rPr>
        <w:t>aggregate demand</w:t>
      </w:r>
      <w:r w:rsidR="00686AE3">
        <w:rPr>
          <w:rFonts w:ascii="Times New Roman" w:hAnsi="Times New Roman" w:cs="Times New Roman"/>
          <w:sz w:val="24"/>
          <w:szCs w:val="24"/>
          <w:lang w:val="en-GB"/>
        </w:rPr>
        <w:t>,</w:t>
      </w:r>
      <w:r w:rsidR="000814E9">
        <w:rPr>
          <w:rFonts w:ascii="Times New Roman" w:hAnsi="Times New Roman" w:cs="Times New Roman"/>
          <w:sz w:val="24"/>
          <w:szCs w:val="24"/>
          <w:lang w:val="en-GB"/>
        </w:rPr>
        <w:t xml:space="preserve"> </w:t>
      </w:r>
      <w:r w:rsidR="0072614A">
        <w:rPr>
          <w:rFonts w:ascii="Times New Roman" w:hAnsi="Times New Roman" w:cs="Times New Roman"/>
          <w:sz w:val="24"/>
          <w:szCs w:val="24"/>
          <w:lang w:val="en-GB"/>
        </w:rPr>
        <w:t>r</w:t>
      </w:r>
      <w:r w:rsidR="00193D71">
        <w:rPr>
          <w:rFonts w:ascii="Times New Roman" w:hAnsi="Times New Roman" w:cs="Times New Roman"/>
          <w:sz w:val="24"/>
          <w:szCs w:val="24"/>
          <w:lang w:val="en-GB"/>
        </w:rPr>
        <w:t>educes</w:t>
      </w:r>
      <w:r w:rsidR="006F0C09">
        <w:rPr>
          <w:rFonts w:ascii="Times New Roman" w:hAnsi="Times New Roman" w:cs="Times New Roman"/>
          <w:sz w:val="24"/>
          <w:szCs w:val="24"/>
          <w:lang w:val="en-GB"/>
        </w:rPr>
        <w:t xml:space="preserve"> </w:t>
      </w:r>
      <w:r w:rsidR="00BA5890">
        <w:rPr>
          <w:rFonts w:ascii="Times New Roman" w:hAnsi="Times New Roman" w:cs="Times New Roman"/>
          <w:sz w:val="24"/>
          <w:szCs w:val="24"/>
          <w:lang w:val="en-GB"/>
        </w:rPr>
        <w:t xml:space="preserve">the rise in the </w:t>
      </w:r>
      <w:r w:rsidR="00E63F7F">
        <w:rPr>
          <w:rFonts w:ascii="Times New Roman" w:hAnsi="Times New Roman" w:cs="Times New Roman"/>
          <w:sz w:val="24"/>
          <w:szCs w:val="24"/>
          <w:lang w:val="en-GB"/>
        </w:rPr>
        <w:t>non-tradables price</w:t>
      </w:r>
      <w:r w:rsidR="00782C47">
        <w:rPr>
          <w:rFonts w:ascii="Times New Roman" w:hAnsi="Times New Roman" w:cs="Times New Roman"/>
          <w:sz w:val="24"/>
          <w:szCs w:val="24"/>
          <w:lang w:val="en-GB"/>
        </w:rPr>
        <w:t xml:space="preserve">, with an additional dampening </w:t>
      </w:r>
      <w:r w:rsidR="00AA104D">
        <w:rPr>
          <w:rFonts w:ascii="Times New Roman" w:hAnsi="Times New Roman" w:cs="Times New Roman"/>
          <w:sz w:val="24"/>
          <w:szCs w:val="24"/>
          <w:lang w:val="en-GB"/>
        </w:rPr>
        <w:t>effect on the CPI</w:t>
      </w:r>
      <w:r w:rsidR="008217C4">
        <w:rPr>
          <w:rFonts w:ascii="Times New Roman" w:hAnsi="Times New Roman" w:cs="Times New Roman"/>
          <w:sz w:val="24"/>
          <w:szCs w:val="24"/>
          <w:lang w:val="en-GB"/>
        </w:rPr>
        <w:t>. The latter effect is absent w</w:t>
      </w:r>
      <w:r w:rsidR="001D0354">
        <w:rPr>
          <w:rFonts w:ascii="Times New Roman" w:hAnsi="Times New Roman" w:cs="Times New Roman"/>
          <w:sz w:val="24"/>
          <w:szCs w:val="24"/>
          <w:lang w:val="en-GB"/>
        </w:rPr>
        <w:t xml:space="preserve">hen </w:t>
      </w:r>
      <w:r w:rsidR="005543A8">
        <w:rPr>
          <w:rFonts w:ascii="Times New Roman" w:hAnsi="Times New Roman" w:cs="Times New Roman"/>
          <w:sz w:val="24"/>
          <w:szCs w:val="24"/>
          <w:lang w:val="en-GB"/>
        </w:rPr>
        <w:t xml:space="preserve">only </w:t>
      </w:r>
      <w:r w:rsidR="009A2673">
        <w:rPr>
          <w:rFonts w:ascii="Times New Roman" w:hAnsi="Times New Roman" w:cs="Times New Roman"/>
          <w:sz w:val="24"/>
          <w:szCs w:val="24"/>
          <w:lang w:val="en-GB"/>
        </w:rPr>
        <w:t xml:space="preserve">the </w:t>
      </w:r>
      <w:r w:rsidR="005543A8">
        <w:rPr>
          <w:rFonts w:ascii="Times New Roman" w:hAnsi="Times New Roman" w:cs="Times New Roman"/>
          <w:sz w:val="24"/>
          <w:szCs w:val="24"/>
          <w:lang w:val="en-GB"/>
        </w:rPr>
        <w:t>price</w:t>
      </w:r>
      <w:r w:rsidR="009A2673">
        <w:rPr>
          <w:rFonts w:ascii="Times New Roman" w:hAnsi="Times New Roman" w:cs="Times New Roman"/>
          <w:sz w:val="24"/>
          <w:szCs w:val="24"/>
          <w:lang w:val="en-GB"/>
        </w:rPr>
        <w:t xml:space="preserve"> of tradables</w:t>
      </w:r>
      <w:r w:rsidR="005543A8">
        <w:rPr>
          <w:rFonts w:ascii="Times New Roman" w:hAnsi="Times New Roman" w:cs="Times New Roman"/>
          <w:sz w:val="24"/>
          <w:szCs w:val="24"/>
          <w:lang w:val="en-GB"/>
        </w:rPr>
        <w:t xml:space="preserve"> affect </w:t>
      </w:r>
      <w:r w:rsidR="00A157FD">
        <w:rPr>
          <w:rFonts w:ascii="Times New Roman" w:hAnsi="Times New Roman" w:cs="Times New Roman"/>
          <w:sz w:val="24"/>
          <w:szCs w:val="24"/>
          <w:lang w:val="en-GB"/>
        </w:rPr>
        <w:t>wages</w:t>
      </w:r>
      <w:r w:rsidR="001D0354">
        <w:rPr>
          <w:rFonts w:ascii="Times New Roman" w:hAnsi="Times New Roman" w:cs="Times New Roman"/>
          <w:sz w:val="24"/>
          <w:szCs w:val="24"/>
          <w:lang w:val="en-GB"/>
        </w:rPr>
        <w:t>.</w:t>
      </w:r>
      <w:r w:rsidR="0021172C">
        <w:rPr>
          <w:rFonts w:ascii="Times New Roman" w:hAnsi="Times New Roman" w:cs="Times New Roman"/>
          <w:sz w:val="24"/>
          <w:szCs w:val="24"/>
          <w:lang w:val="en-GB"/>
        </w:rPr>
        <w:t xml:space="preserve"> </w:t>
      </w:r>
      <w:r w:rsidR="006F2AE9">
        <w:rPr>
          <w:rFonts w:ascii="Times New Roman" w:hAnsi="Times New Roman" w:cs="Times New Roman"/>
          <w:sz w:val="24"/>
          <w:szCs w:val="24"/>
          <w:lang w:val="en-GB"/>
        </w:rPr>
        <w:t xml:space="preserve">In contrast, </w:t>
      </w:r>
      <w:r w:rsidR="00954AD1">
        <w:rPr>
          <w:rFonts w:ascii="Times New Roman" w:hAnsi="Times New Roman" w:cs="Times New Roman"/>
          <w:sz w:val="24"/>
          <w:szCs w:val="24"/>
          <w:lang w:val="en-GB"/>
        </w:rPr>
        <w:t>R</w:t>
      </w:r>
      <w:r w:rsidR="00954AD1" w:rsidRPr="00D65A47">
        <w:rPr>
          <w:rFonts w:ascii="Times New Roman" w:hAnsi="Times New Roman" w:cs="Times New Roman"/>
          <w:sz w:val="24"/>
          <w:szCs w:val="24"/>
          <w:lang w:val="en-GB"/>
        </w:rPr>
        <w:t>ø</w:t>
      </w:r>
      <w:r w:rsidR="00954AD1">
        <w:rPr>
          <w:rFonts w:ascii="Times New Roman" w:hAnsi="Times New Roman" w:cs="Times New Roman"/>
          <w:sz w:val="24"/>
          <w:szCs w:val="24"/>
          <w:lang w:val="en-GB"/>
        </w:rPr>
        <w:t>island</w:t>
      </w:r>
      <w:r w:rsidR="00881512">
        <w:rPr>
          <w:rFonts w:ascii="Times New Roman" w:hAnsi="Times New Roman" w:cs="Times New Roman"/>
          <w:sz w:val="24"/>
          <w:szCs w:val="24"/>
          <w:lang w:val="en-GB"/>
        </w:rPr>
        <w:t xml:space="preserve"> (2023b) shows that </w:t>
      </w:r>
      <w:r w:rsidR="0003639B">
        <w:rPr>
          <w:rFonts w:ascii="Times New Roman" w:hAnsi="Times New Roman" w:cs="Times New Roman"/>
          <w:sz w:val="24"/>
          <w:szCs w:val="24"/>
          <w:lang w:val="en-GB"/>
        </w:rPr>
        <w:t xml:space="preserve">stopping a wage-price spiral in the case of a domestic inflation shock requires a smaller interest rate increase the </w:t>
      </w:r>
      <w:r w:rsidR="004C614C">
        <w:rPr>
          <w:rFonts w:ascii="Times New Roman" w:hAnsi="Times New Roman" w:cs="Times New Roman"/>
          <w:sz w:val="24"/>
          <w:szCs w:val="24"/>
          <w:lang w:val="en-GB"/>
        </w:rPr>
        <w:t xml:space="preserve">more </w:t>
      </w:r>
      <w:r w:rsidR="00194509">
        <w:rPr>
          <w:rFonts w:ascii="Times New Roman" w:hAnsi="Times New Roman" w:cs="Times New Roman"/>
          <w:sz w:val="24"/>
          <w:szCs w:val="24"/>
          <w:lang w:val="en-GB"/>
        </w:rPr>
        <w:t xml:space="preserve">the wage depends on the price of tradables as opposed to the </w:t>
      </w:r>
      <w:r w:rsidR="00AA341E">
        <w:rPr>
          <w:rFonts w:ascii="Times New Roman" w:hAnsi="Times New Roman" w:cs="Times New Roman"/>
          <w:sz w:val="24"/>
          <w:szCs w:val="24"/>
          <w:lang w:val="en-GB"/>
        </w:rPr>
        <w:t>CPI</w:t>
      </w:r>
      <w:r w:rsidR="005578B0">
        <w:rPr>
          <w:rFonts w:ascii="Times New Roman" w:hAnsi="Times New Roman" w:cs="Times New Roman"/>
          <w:sz w:val="24"/>
          <w:szCs w:val="24"/>
          <w:lang w:val="en-GB"/>
        </w:rPr>
        <w:t>.</w:t>
      </w:r>
    </w:p>
    <w:p w14:paraId="19615601" w14:textId="5582F496" w:rsidR="000E592E" w:rsidRDefault="000E592E" w:rsidP="000E592E">
      <w:pPr>
        <w:pStyle w:val="Heading2"/>
        <w:rPr>
          <w:lang w:val="en-GB"/>
        </w:rPr>
      </w:pPr>
      <w:r>
        <w:rPr>
          <w:lang w:val="en-GB"/>
        </w:rPr>
        <w:t>3.3 The Scandinavian model and international capital mobility</w:t>
      </w:r>
    </w:p>
    <w:p w14:paraId="2296208D" w14:textId="2E67DFCC" w:rsidR="00BC131E" w:rsidRDefault="000E592E" w:rsidP="000E592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normative prescription that wage cost developments in the tradables sector should follow the </w:t>
      </w:r>
      <w:r w:rsidR="00887DAE">
        <w:rPr>
          <w:rFonts w:ascii="Times New Roman" w:hAnsi="Times New Roman" w:cs="Times New Roman"/>
          <w:sz w:val="24"/>
          <w:szCs w:val="24"/>
          <w:lang w:val="en-GB"/>
        </w:rPr>
        <w:t>scope</w:t>
      </w:r>
      <w:r>
        <w:rPr>
          <w:rFonts w:ascii="Times New Roman" w:hAnsi="Times New Roman" w:cs="Times New Roman"/>
          <w:sz w:val="24"/>
          <w:szCs w:val="24"/>
          <w:lang w:val="en-GB"/>
        </w:rPr>
        <w:t xml:space="preserve"> </w:t>
      </w:r>
      <w:r w:rsidR="00A25E9F">
        <w:rPr>
          <w:rFonts w:ascii="Times New Roman" w:hAnsi="Times New Roman" w:cs="Times New Roman"/>
          <w:sz w:val="24"/>
          <w:szCs w:val="24"/>
          <w:lang w:val="en-GB"/>
        </w:rPr>
        <w:t>given</w:t>
      </w:r>
      <w:r>
        <w:rPr>
          <w:rFonts w:ascii="Times New Roman" w:hAnsi="Times New Roman" w:cs="Times New Roman"/>
          <w:sz w:val="24"/>
          <w:szCs w:val="24"/>
          <w:lang w:val="en-GB"/>
        </w:rPr>
        <w:t xml:space="preserve"> by price and productivity increases</w:t>
      </w:r>
      <w:r w:rsidR="00D63225">
        <w:rPr>
          <w:rFonts w:ascii="Times New Roman" w:hAnsi="Times New Roman" w:cs="Times New Roman"/>
          <w:sz w:val="24"/>
          <w:szCs w:val="24"/>
          <w:lang w:val="en-GB"/>
        </w:rPr>
        <w:t xml:space="preserve"> there</w:t>
      </w:r>
      <w:r>
        <w:rPr>
          <w:rFonts w:ascii="Times New Roman" w:hAnsi="Times New Roman" w:cs="Times New Roman"/>
          <w:sz w:val="24"/>
          <w:szCs w:val="24"/>
          <w:lang w:val="en-GB"/>
        </w:rPr>
        <w:t xml:space="preserve"> is sometimes </w:t>
      </w:r>
      <w:r w:rsidR="00BC131E">
        <w:rPr>
          <w:rFonts w:ascii="Times New Roman" w:hAnsi="Times New Roman" w:cs="Times New Roman"/>
          <w:sz w:val="24"/>
          <w:szCs w:val="24"/>
          <w:lang w:val="en-GB"/>
        </w:rPr>
        <w:t>motivated by relative profitability concerns vis-à-vis other countries.</w:t>
      </w:r>
      <w:r w:rsidR="00BC131E">
        <w:rPr>
          <w:rStyle w:val="FootnoteReference"/>
          <w:rFonts w:ascii="Times New Roman" w:hAnsi="Times New Roman" w:cs="Times New Roman"/>
          <w:sz w:val="24"/>
          <w:szCs w:val="24"/>
          <w:lang w:val="en-GB"/>
        </w:rPr>
        <w:footnoteReference w:id="16"/>
      </w:r>
      <w:r w:rsidR="00BC131E">
        <w:rPr>
          <w:rFonts w:ascii="Times New Roman" w:hAnsi="Times New Roman" w:cs="Times New Roman"/>
          <w:sz w:val="24"/>
          <w:szCs w:val="24"/>
          <w:lang w:val="en-GB"/>
        </w:rPr>
        <w:t xml:space="preserve"> With free capital mobility, the return to capital in the tradables sector must be the same as abroad if capital is not to be reallocated. With a lower</w:t>
      </w:r>
      <w:r w:rsidR="005C2E91">
        <w:rPr>
          <w:rFonts w:ascii="Times New Roman" w:hAnsi="Times New Roman" w:cs="Times New Roman"/>
          <w:sz w:val="24"/>
          <w:szCs w:val="24"/>
          <w:lang w:val="en-GB"/>
        </w:rPr>
        <w:t xml:space="preserve"> (higher)</w:t>
      </w:r>
      <w:r w:rsidR="00BC131E">
        <w:rPr>
          <w:rFonts w:ascii="Times New Roman" w:hAnsi="Times New Roman" w:cs="Times New Roman"/>
          <w:sz w:val="24"/>
          <w:szCs w:val="24"/>
          <w:lang w:val="en-GB"/>
        </w:rPr>
        <w:t xml:space="preserve"> return, capital is exported</w:t>
      </w:r>
      <w:r w:rsidR="005C2E91">
        <w:rPr>
          <w:rFonts w:ascii="Times New Roman" w:hAnsi="Times New Roman" w:cs="Times New Roman"/>
          <w:sz w:val="24"/>
          <w:szCs w:val="24"/>
          <w:lang w:val="en-GB"/>
        </w:rPr>
        <w:t xml:space="preserve"> (imported)</w:t>
      </w:r>
      <w:r w:rsidR="00BC131E">
        <w:rPr>
          <w:rFonts w:ascii="Times New Roman" w:hAnsi="Times New Roman" w:cs="Times New Roman"/>
          <w:sz w:val="24"/>
          <w:szCs w:val="24"/>
          <w:lang w:val="en-GB"/>
        </w:rPr>
        <w:t xml:space="preserve"> and the tradables sector shrinks</w:t>
      </w:r>
      <w:r w:rsidR="005C2E91">
        <w:rPr>
          <w:rFonts w:ascii="Times New Roman" w:hAnsi="Times New Roman" w:cs="Times New Roman"/>
          <w:sz w:val="24"/>
          <w:szCs w:val="24"/>
          <w:lang w:val="en-GB"/>
        </w:rPr>
        <w:t xml:space="preserve"> (expands)</w:t>
      </w:r>
      <w:r w:rsidR="00BC131E">
        <w:rPr>
          <w:rFonts w:ascii="Times New Roman" w:hAnsi="Times New Roman" w:cs="Times New Roman"/>
          <w:sz w:val="24"/>
          <w:szCs w:val="24"/>
          <w:lang w:val="en-GB"/>
        </w:rPr>
        <w:t xml:space="preserve">. </w:t>
      </w:r>
    </w:p>
    <w:p w14:paraId="120975D0" w14:textId="6D706EA5" w:rsidR="000E592E" w:rsidRDefault="00BC131E" w:rsidP="000E592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 constant wage share implies a constant (gross) profit share. The latter means a constant (average) return to capital if the capital-output ratio and the depreciation rate of capital are also constant.</w:t>
      </w:r>
      <w:r w:rsidR="00DA42A5">
        <w:rPr>
          <w:rStyle w:val="FootnoteReference"/>
          <w:rFonts w:ascii="Times New Roman" w:hAnsi="Times New Roman" w:cs="Times New Roman"/>
          <w:sz w:val="24"/>
          <w:szCs w:val="24"/>
          <w:lang w:val="en-GB"/>
        </w:rPr>
        <w:footnoteReference w:id="17"/>
      </w:r>
      <w:r>
        <w:rPr>
          <w:rFonts w:ascii="Times New Roman" w:hAnsi="Times New Roman" w:cs="Times New Roman"/>
          <w:sz w:val="24"/>
          <w:szCs w:val="24"/>
          <w:lang w:val="en-GB"/>
        </w:rPr>
        <w:t xml:space="preserve"> Thus, a constant wage share can be taken as an indication of a constant return to capital. But the relative return to capital vis-à-vis the rest of the world is unchanged only if the foreign return to capital is unchanged. Using changes in wage shares as proxies for changes in the return to capital, the condition for an unchanged relative return to capital is:</w:t>
      </w:r>
    </w:p>
    <w:p w14:paraId="5156DC04" w14:textId="396D62A8" w:rsidR="00BC131E" w:rsidRPr="00BC131E" w:rsidRDefault="00BC131E" w:rsidP="000E592E">
      <w:pPr>
        <w:spacing w:line="360" w:lineRule="auto"/>
        <w:jc w:val="both"/>
        <w:rPr>
          <w:rFonts w:ascii="Times New Roman" w:eastAsiaTheme="minorEastAsia" w:hAnsi="Times New Roman" w:cs="Times New Roman"/>
          <w:sz w:val="24"/>
          <w:szCs w:val="24"/>
          <w:lang w:val="en-GB"/>
        </w:rPr>
      </w:pPr>
      <m:oMathPara>
        <m:oMath>
          <m:r>
            <w:rPr>
              <w:rFonts w:ascii="Cambria Math" w:hAnsi="Cambria Math" w:cs="Times New Roman"/>
              <w:sz w:val="24"/>
              <w:szCs w:val="24"/>
              <w:lang w:val="en-GB"/>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T</m:t>
              </m:r>
            </m:sub>
            <m:sup>
              <m:r>
                <w:rPr>
                  <w:rFonts w:ascii="Cambria Math" w:hAnsi="Cambria Math" w:cs="Times New Roman"/>
                  <w:sz w:val="24"/>
                  <w:szCs w:val="24"/>
                </w:rPr>
                <m:t>F</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F</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m:t>
              </m:r>
            </m:sub>
            <m:sup>
              <m:r>
                <w:rPr>
                  <w:rFonts w:ascii="Cambria Math" w:hAnsi="Cambria Math" w:cs="Times New Roman"/>
                  <w:sz w:val="24"/>
                  <w:szCs w:val="24"/>
                </w:rPr>
                <m:t>F</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T</m:t>
              </m:r>
            </m:sub>
            <m:sup>
              <m:r>
                <w:rPr>
                  <w:rFonts w:ascii="Cambria Math" w:hAnsi="Cambria Math" w:cs="Times New Roman"/>
                  <w:sz w:val="24"/>
                  <w:szCs w:val="24"/>
                </w:rPr>
                <m:t>F</m:t>
              </m:r>
            </m:sup>
          </m:sSubSup>
          <m:r>
            <w:rPr>
              <w:rFonts w:ascii="Cambria Math" w:hAnsi="Cambria Math" w:cs="Times New Roman"/>
              <w:sz w:val="24"/>
              <w:szCs w:val="24"/>
              <w:lang w:val="en-GB"/>
            </w:rPr>
            <m:t>,                   (1)</m:t>
          </m:r>
        </m:oMath>
      </m:oMathPara>
    </w:p>
    <w:p w14:paraId="3C746982" w14:textId="5DED87BD" w:rsidR="00BC131E" w:rsidRDefault="00BC131E" w:rsidP="000E592E">
      <w:pPr>
        <w:spacing w:line="360" w:lineRule="auto"/>
        <w:jc w:val="both"/>
        <w:rPr>
          <w:rFonts w:ascii="Times New Roman" w:eastAsiaTheme="minorEastAsia" w:hAnsi="Times New Roman" w:cs="Times New Roman"/>
          <w:sz w:val="24"/>
          <w:szCs w:val="24"/>
          <w:lang w:val="en-GB"/>
        </w:rPr>
      </w:pPr>
      <w:r w:rsidRPr="00BC131E">
        <w:rPr>
          <w:rFonts w:ascii="Times New Roman" w:eastAsiaTheme="minorEastAsia" w:hAnsi="Times New Roman" w:cs="Times New Roman"/>
          <w:sz w:val="24"/>
          <w:szCs w:val="24"/>
          <w:lang w:val="en-GB"/>
        </w:rPr>
        <w:t xml:space="preserve">where </w:t>
      </w:r>
      <m:oMath>
        <m:r>
          <w:rPr>
            <w:rFonts w:ascii="Cambria Math" w:eastAsiaTheme="minorEastAsia" w:hAnsi="Cambria Math" w:cs="Times New Roman"/>
            <w:sz w:val="24"/>
            <w:szCs w:val="24"/>
            <w:lang w:val="en-GB"/>
          </w:rPr>
          <m:t>∆</m:t>
        </m:r>
        <m:r>
          <w:rPr>
            <w:rFonts w:ascii="Cambria Math" w:eastAsiaTheme="minorEastAsia" w:hAnsi="Cambria Math" w:cs="Times New Roman"/>
            <w:sz w:val="24"/>
            <w:szCs w:val="24"/>
          </w:rPr>
          <m:t>s</m:t>
        </m:r>
      </m:oMath>
      <w:r w:rsidRPr="00BC131E">
        <w:rPr>
          <w:rFonts w:ascii="Times New Roman" w:eastAsiaTheme="minorEastAsia" w:hAnsi="Times New Roman" w:cs="Times New Roman"/>
          <w:sz w:val="24"/>
          <w:szCs w:val="24"/>
          <w:lang w:val="en-GB"/>
        </w:rPr>
        <w:t xml:space="preserve"> is the percentage change in the wage share, </w:t>
      </w:r>
      <m:oMath>
        <m:r>
          <w:rPr>
            <w:rFonts w:ascii="Cambria Math" w:eastAsiaTheme="minorEastAsia" w:hAnsi="Cambria Math" w:cs="Times New Roman"/>
            <w:sz w:val="24"/>
            <w:szCs w:val="24"/>
            <w:lang w:val="en-GB"/>
          </w:rPr>
          <m:t>∆</m:t>
        </m:r>
        <m:r>
          <w:rPr>
            <w:rFonts w:ascii="Cambria Math" w:eastAsiaTheme="minorEastAsia" w:hAnsi="Cambria Math" w:cs="Times New Roman"/>
            <w:sz w:val="24"/>
            <w:szCs w:val="24"/>
          </w:rPr>
          <m:t>w</m:t>
        </m:r>
      </m:oMath>
      <w:r w:rsidRPr="00BC131E">
        <w:rPr>
          <w:rFonts w:ascii="Times New Roman" w:eastAsiaTheme="minorEastAsia" w:hAnsi="Times New Roman" w:cs="Times New Roman"/>
          <w:sz w:val="24"/>
          <w:szCs w:val="24"/>
          <w:lang w:val="en-GB"/>
        </w:rPr>
        <w:t xml:space="preserve"> the percentage </w:t>
      </w:r>
      <w:r w:rsidR="00875877">
        <w:rPr>
          <w:rFonts w:ascii="Times New Roman" w:eastAsiaTheme="minorEastAsia" w:hAnsi="Times New Roman" w:cs="Times New Roman"/>
          <w:sz w:val="24"/>
          <w:szCs w:val="24"/>
          <w:lang w:val="en-GB"/>
        </w:rPr>
        <w:t>change</w:t>
      </w:r>
      <w:r w:rsidRPr="00BC131E">
        <w:rPr>
          <w:rFonts w:ascii="Times New Roman" w:eastAsiaTheme="minorEastAsia" w:hAnsi="Times New Roman" w:cs="Times New Roman"/>
          <w:sz w:val="24"/>
          <w:szCs w:val="24"/>
          <w:lang w:val="en-GB"/>
        </w:rPr>
        <w:t xml:space="preserve"> in the wage cost, </w:t>
      </w:r>
      <m:oMath>
        <m:r>
          <w:rPr>
            <w:rFonts w:ascii="Cambria Math" w:eastAsiaTheme="minorEastAsia" w:hAnsi="Cambria Math" w:cs="Times New Roman"/>
            <w:sz w:val="24"/>
            <w:szCs w:val="24"/>
            <w:lang w:val="en-GB"/>
          </w:rPr>
          <m:t>∆</m:t>
        </m:r>
        <m:r>
          <w:rPr>
            <w:rFonts w:ascii="Cambria Math" w:eastAsiaTheme="minorEastAsia" w:hAnsi="Cambria Math" w:cs="Times New Roman"/>
            <w:sz w:val="24"/>
            <w:szCs w:val="24"/>
          </w:rPr>
          <m:t>p</m:t>
        </m:r>
        <m:r>
          <w:rPr>
            <w:rFonts w:ascii="Cambria Math" w:eastAsiaTheme="minorEastAsia" w:hAnsi="Cambria Math" w:cs="Times New Roman"/>
            <w:sz w:val="24"/>
            <w:szCs w:val="24"/>
            <w:lang w:val="en-GB"/>
          </w:rPr>
          <m:t xml:space="preserve"> </m:t>
        </m:r>
      </m:oMath>
      <w:r w:rsidRPr="00BC131E">
        <w:rPr>
          <w:rFonts w:ascii="Times New Roman" w:eastAsiaTheme="minorEastAsia" w:hAnsi="Times New Roman" w:cs="Times New Roman"/>
          <w:sz w:val="24"/>
          <w:szCs w:val="24"/>
          <w:lang w:val="en-GB"/>
        </w:rPr>
        <w:t xml:space="preserve">the percentage </w:t>
      </w:r>
      <w:r w:rsidR="000658D1">
        <w:rPr>
          <w:rFonts w:ascii="Times New Roman" w:eastAsiaTheme="minorEastAsia" w:hAnsi="Times New Roman" w:cs="Times New Roman"/>
          <w:sz w:val="24"/>
          <w:szCs w:val="24"/>
          <w:lang w:val="en-GB"/>
        </w:rPr>
        <w:t>change</w:t>
      </w:r>
      <w:r w:rsidRPr="00BC131E">
        <w:rPr>
          <w:rFonts w:ascii="Times New Roman" w:eastAsiaTheme="minorEastAsia" w:hAnsi="Times New Roman" w:cs="Times New Roman"/>
          <w:sz w:val="24"/>
          <w:szCs w:val="24"/>
          <w:lang w:val="en-GB"/>
        </w:rPr>
        <w:t xml:space="preserve"> in the price</w:t>
      </w:r>
      <w:r w:rsidR="0025392B">
        <w:rPr>
          <w:rFonts w:ascii="Times New Roman" w:eastAsiaTheme="minorEastAsia" w:hAnsi="Times New Roman" w:cs="Times New Roman"/>
          <w:sz w:val="24"/>
          <w:szCs w:val="24"/>
          <w:lang w:val="en-GB"/>
        </w:rPr>
        <w:t>,</w:t>
      </w:r>
      <w:r w:rsidRPr="00BC131E">
        <w:rPr>
          <w:rFonts w:ascii="Times New Roman" w:eastAsiaTheme="minorEastAsia" w:hAnsi="Times New Roman" w:cs="Times New Roman"/>
          <w:sz w:val="24"/>
          <w:szCs w:val="24"/>
          <w:lang w:val="en-GB"/>
        </w:rPr>
        <w:t xml:space="preserve"> and </w:t>
      </w:r>
      <m:oMath>
        <m:r>
          <w:rPr>
            <w:rFonts w:ascii="Cambria Math" w:eastAsiaTheme="minorEastAsia" w:hAnsi="Cambria Math" w:cs="Times New Roman"/>
            <w:sz w:val="24"/>
            <w:szCs w:val="24"/>
            <w:lang w:val="en-GB"/>
          </w:rPr>
          <m:t>∆</m:t>
        </m:r>
        <m:r>
          <w:rPr>
            <w:rFonts w:ascii="Cambria Math" w:eastAsiaTheme="minorEastAsia" w:hAnsi="Cambria Math" w:cs="Times New Roman"/>
            <w:sz w:val="24"/>
            <w:szCs w:val="24"/>
          </w:rPr>
          <m:t>q</m:t>
        </m:r>
      </m:oMath>
      <w:r w:rsidRPr="00BC131E">
        <w:rPr>
          <w:rFonts w:ascii="Times New Roman" w:eastAsiaTheme="minorEastAsia" w:hAnsi="Times New Roman" w:cs="Times New Roman"/>
          <w:sz w:val="24"/>
          <w:szCs w:val="24"/>
          <w:lang w:val="en-GB"/>
        </w:rPr>
        <w:t xml:space="preserve"> the percentage change in productivity.</w:t>
      </w:r>
      <w:r>
        <w:rPr>
          <w:rFonts w:ascii="Times New Roman" w:eastAsiaTheme="minorEastAsia" w:hAnsi="Times New Roman" w:cs="Times New Roman"/>
          <w:lang w:val="en-GB"/>
        </w:rPr>
        <w:t xml:space="preserve"> </w:t>
      </w:r>
      <w:r w:rsidRPr="00BC131E">
        <w:rPr>
          <w:rFonts w:ascii="Times New Roman" w:eastAsiaTheme="minorEastAsia" w:hAnsi="Times New Roman" w:cs="Times New Roman"/>
          <w:sz w:val="24"/>
          <w:szCs w:val="24"/>
          <w:lang w:val="en-GB"/>
        </w:rPr>
        <w:t>Subscript</w:t>
      </w:r>
      <w:r>
        <w:rPr>
          <w:rFonts w:ascii="Times New Roman" w:eastAsiaTheme="minorEastAsia" w:hAnsi="Times New Roman" w:cs="Times New Roman"/>
          <w:lang w:val="en-GB"/>
        </w:rPr>
        <w:t xml:space="preserve"> </w:t>
      </w:r>
      <w:r>
        <w:rPr>
          <w:rFonts w:ascii="Times New Roman" w:eastAsiaTheme="minorEastAsia" w:hAnsi="Times New Roman" w:cs="Times New Roman"/>
          <w:i/>
          <w:iCs/>
          <w:lang w:val="en-GB"/>
        </w:rPr>
        <w:t xml:space="preserve">T </w:t>
      </w:r>
      <w:r w:rsidR="0025392B">
        <w:rPr>
          <w:rFonts w:ascii="Times New Roman" w:eastAsiaTheme="minorEastAsia" w:hAnsi="Times New Roman" w:cs="Times New Roman"/>
          <w:sz w:val="24"/>
          <w:szCs w:val="24"/>
          <w:lang w:val="en-GB"/>
        </w:rPr>
        <w:t>denotes</w:t>
      </w:r>
      <w:r w:rsidRPr="00BC131E">
        <w:rPr>
          <w:rFonts w:ascii="Times New Roman" w:eastAsiaTheme="minorEastAsia" w:hAnsi="Times New Roman" w:cs="Times New Roman"/>
          <w:sz w:val="24"/>
          <w:szCs w:val="24"/>
          <w:lang w:val="en-GB"/>
        </w:rPr>
        <w:t xml:space="preserve"> the tradables sector and superscripts </w:t>
      </w:r>
      <w:r w:rsidRPr="00BC131E">
        <w:rPr>
          <w:rFonts w:ascii="Times New Roman" w:eastAsiaTheme="minorEastAsia" w:hAnsi="Times New Roman" w:cs="Times New Roman"/>
          <w:i/>
          <w:iCs/>
          <w:sz w:val="24"/>
          <w:szCs w:val="24"/>
          <w:lang w:val="en-GB"/>
        </w:rPr>
        <w:t xml:space="preserve">H </w:t>
      </w:r>
      <w:r w:rsidRPr="00BC131E">
        <w:rPr>
          <w:rFonts w:ascii="Times New Roman" w:eastAsiaTheme="minorEastAsia" w:hAnsi="Times New Roman" w:cs="Times New Roman"/>
          <w:sz w:val="24"/>
          <w:szCs w:val="24"/>
          <w:lang w:val="en-GB"/>
        </w:rPr>
        <w:t xml:space="preserve">and </w:t>
      </w:r>
      <w:r w:rsidRPr="00BC131E">
        <w:rPr>
          <w:rFonts w:ascii="Times New Roman" w:eastAsiaTheme="minorEastAsia" w:hAnsi="Times New Roman" w:cs="Times New Roman"/>
          <w:i/>
          <w:iCs/>
          <w:sz w:val="24"/>
          <w:szCs w:val="24"/>
          <w:lang w:val="en-GB"/>
        </w:rPr>
        <w:t xml:space="preserve">F </w:t>
      </w:r>
      <w:r w:rsidRPr="00BC131E">
        <w:rPr>
          <w:rFonts w:ascii="Times New Roman" w:eastAsiaTheme="minorEastAsia" w:hAnsi="Times New Roman" w:cs="Times New Roman"/>
          <w:sz w:val="24"/>
          <w:szCs w:val="24"/>
          <w:lang w:val="en-GB"/>
        </w:rPr>
        <w:t>home country and foreign countries, respectively</w:t>
      </w:r>
      <w:r>
        <w:rPr>
          <w:rFonts w:ascii="Times New Roman" w:eastAsiaTheme="minorEastAsia" w:hAnsi="Times New Roman" w:cs="Times New Roman"/>
          <w:sz w:val="24"/>
          <w:szCs w:val="24"/>
          <w:lang w:val="en-GB"/>
        </w:rPr>
        <w:t>.</w:t>
      </w:r>
      <w:r w:rsidR="00A8769B">
        <w:rPr>
          <w:rStyle w:val="FootnoteReference"/>
          <w:rFonts w:ascii="Times New Roman" w:eastAsiaTheme="minorEastAsia" w:hAnsi="Times New Roman" w:cs="Times New Roman"/>
          <w:sz w:val="24"/>
          <w:szCs w:val="24"/>
          <w:lang w:val="en-GB"/>
        </w:rPr>
        <w:footnoteReference w:id="18"/>
      </w:r>
      <w:r>
        <w:rPr>
          <w:rFonts w:ascii="Times New Roman" w:eastAsiaTheme="minorEastAsia" w:hAnsi="Times New Roman" w:cs="Times New Roman"/>
          <w:sz w:val="24"/>
          <w:szCs w:val="24"/>
          <w:lang w:val="en-GB"/>
        </w:rPr>
        <w:t xml:space="preserve"> The equation states that the percentage change in the home and in the foreign wage share in the tradables sector should be equal. As the percentage change in the wage share equals the difference between the percentage wage cost change and the sum of </w:t>
      </w:r>
      <w:r w:rsidR="000658D1">
        <w:rPr>
          <w:rFonts w:ascii="Times New Roman" w:eastAsiaTheme="minorEastAsia" w:hAnsi="Times New Roman" w:cs="Times New Roman"/>
          <w:sz w:val="24"/>
          <w:szCs w:val="24"/>
          <w:lang w:val="en-GB"/>
        </w:rPr>
        <w:t xml:space="preserve">percentage </w:t>
      </w:r>
      <w:r>
        <w:rPr>
          <w:rFonts w:ascii="Times New Roman" w:eastAsiaTheme="minorEastAsia" w:hAnsi="Times New Roman" w:cs="Times New Roman"/>
          <w:sz w:val="24"/>
          <w:szCs w:val="24"/>
          <w:lang w:val="en-GB"/>
        </w:rPr>
        <w:t>price and productivity change</w:t>
      </w:r>
      <w:r w:rsidR="000658D1">
        <w:rPr>
          <w:rFonts w:ascii="Times New Roman" w:eastAsiaTheme="minorEastAsia" w:hAnsi="Times New Roman" w:cs="Times New Roman"/>
          <w:sz w:val="24"/>
          <w:szCs w:val="24"/>
          <w:lang w:val="en-GB"/>
        </w:rPr>
        <w:t>s</w:t>
      </w:r>
      <w:r>
        <w:rPr>
          <w:rFonts w:ascii="Times New Roman" w:eastAsiaTheme="minorEastAsia" w:hAnsi="Times New Roman" w:cs="Times New Roman"/>
          <w:sz w:val="24"/>
          <w:szCs w:val="24"/>
          <w:lang w:val="en-GB"/>
        </w:rPr>
        <w:t xml:space="preserve">, this difference </w:t>
      </w:r>
      <w:r w:rsidR="00592D17">
        <w:rPr>
          <w:rFonts w:ascii="Times New Roman" w:eastAsiaTheme="minorEastAsia" w:hAnsi="Times New Roman" w:cs="Times New Roman"/>
          <w:sz w:val="24"/>
          <w:szCs w:val="24"/>
          <w:lang w:val="en-GB"/>
        </w:rPr>
        <w:t>must</w:t>
      </w:r>
      <w:r>
        <w:rPr>
          <w:rFonts w:ascii="Times New Roman" w:eastAsiaTheme="minorEastAsia" w:hAnsi="Times New Roman" w:cs="Times New Roman"/>
          <w:sz w:val="24"/>
          <w:szCs w:val="24"/>
          <w:lang w:val="en-GB"/>
        </w:rPr>
        <w:t xml:space="preserve"> be the same at home and abroad.</w:t>
      </w:r>
    </w:p>
    <w:p w14:paraId="42394FBD" w14:textId="419B34C3" w:rsidR="00BC131E" w:rsidRDefault="00BC131E" w:rsidP="000E592E">
      <w:pPr>
        <w:spacing w:line="360"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The equation can be rewritten:</w:t>
      </w:r>
    </w:p>
    <w:p w14:paraId="39618F61" w14:textId="64D39B87" w:rsidR="00BC131E" w:rsidRPr="00BC131E" w:rsidRDefault="00BC131E" w:rsidP="000E592E">
      <w:pPr>
        <w:spacing w:line="360" w:lineRule="auto"/>
        <w:jc w:val="both"/>
        <w:rPr>
          <w:rFonts w:ascii="Times New Roman" w:eastAsiaTheme="minorEastAsia" w:hAnsi="Times New Roman" w:cs="Times New Roman"/>
          <w:sz w:val="24"/>
          <w:szCs w:val="24"/>
          <w:lang w:val="en-GB"/>
        </w:rPr>
      </w:pPr>
      <m:oMath>
        <m:r>
          <w:rPr>
            <w:rFonts w:ascii="Cambria Math" w:eastAsiaTheme="minorEastAsia" w:hAnsi="Cambria Math" w:cs="Times New Roman"/>
            <w:sz w:val="24"/>
            <w:szCs w:val="24"/>
            <w:lang w:val="en-GB"/>
          </w:rPr>
          <m:t xml:space="preserve">                                                               </m:t>
        </m:r>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eastAsiaTheme="minorEastAsia" w:hAnsi="Cambria Math" w:cs="Times New Roman"/>
            <w:sz w:val="24"/>
            <w:szCs w:val="24"/>
            <w:lang w:val="en-GB"/>
          </w:rPr>
          <m:t>=</m:t>
        </m:r>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T</m:t>
            </m:r>
            <m:r>
              <w:rPr>
                <w:rFonts w:ascii="Cambria Math" w:hAnsi="Cambria Math" w:cs="Times New Roman"/>
                <w:sz w:val="24"/>
                <w:szCs w:val="24"/>
                <w:lang w:val="en-GB"/>
              </w:rPr>
              <m:t>.</m:t>
            </m:r>
          </m:sub>
          <m:sup>
            <m:r>
              <w:rPr>
                <w:rFonts w:ascii="Cambria Math" w:hAnsi="Cambria Math" w:cs="Times New Roman"/>
                <w:sz w:val="24"/>
                <w:szCs w:val="24"/>
              </w:rPr>
              <m:t>F</m:t>
            </m:r>
          </m:sup>
        </m:sSubSup>
      </m:oMath>
      <w:r w:rsidRPr="00BC131E">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                                     (2)</w:t>
      </w:r>
    </w:p>
    <w:p w14:paraId="3CD125AF" w14:textId="49FF2D5F" w:rsidR="00B846BB" w:rsidRDefault="00BC131E" w:rsidP="000E592E">
      <w:pPr>
        <w:spacing w:line="360"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 Equation (2) is a modified Scandinavian-model </w:t>
      </w:r>
      <w:r w:rsidR="00592D17">
        <w:rPr>
          <w:rFonts w:ascii="Times New Roman" w:eastAsiaTheme="minorEastAsia" w:hAnsi="Times New Roman" w:cs="Times New Roman"/>
          <w:sz w:val="24"/>
          <w:szCs w:val="24"/>
          <w:lang w:val="en-GB"/>
        </w:rPr>
        <w:t>scope</w:t>
      </w:r>
      <w:r>
        <w:rPr>
          <w:rFonts w:ascii="Times New Roman" w:eastAsiaTheme="minorEastAsia" w:hAnsi="Times New Roman" w:cs="Times New Roman"/>
          <w:sz w:val="24"/>
          <w:szCs w:val="24"/>
          <w:lang w:val="en-GB"/>
        </w:rPr>
        <w:t xml:space="preserve"> for</w:t>
      </w:r>
      <w:r w:rsidR="00AD6781">
        <w:rPr>
          <w:rFonts w:ascii="Times New Roman" w:eastAsiaTheme="minorEastAsia" w:hAnsi="Times New Roman" w:cs="Times New Roman"/>
          <w:sz w:val="24"/>
          <w:szCs w:val="24"/>
          <w:lang w:val="en-GB"/>
        </w:rPr>
        <w:t xml:space="preserve"> the</w:t>
      </w:r>
      <w:r>
        <w:rPr>
          <w:rFonts w:ascii="Times New Roman" w:eastAsiaTheme="minorEastAsia" w:hAnsi="Times New Roman" w:cs="Times New Roman"/>
          <w:sz w:val="24"/>
          <w:szCs w:val="24"/>
          <w:lang w:val="en-GB"/>
        </w:rPr>
        <w:t xml:space="preserve"> wage cost increase, according to which </w:t>
      </w:r>
      <w:r w:rsidR="00AD6781">
        <w:rPr>
          <w:rFonts w:ascii="Times New Roman" w:eastAsiaTheme="minorEastAsia" w:hAnsi="Times New Roman" w:cs="Times New Roman"/>
          <w:sz w:val="24"/>
          <w:szCs w:val="24"/>
          <w:lang w:val="en-GB"/>
        </w:rPr>
        <w:t>it</w:t>
      </w:r>
      <w:r>
        <w:rPr>
          <w:rFonts w:ascii="Times New Roman" w:eastAsiaTheme="minorEastAsia" w:hAnsi="Times New Roman" w:cs="Times New Roman"/>
          <w:sz w:val="24"/>
          <w:szCs w:val="24"/>
          <w:lang w:val="en-GB"/>
        </w:rPr>
        <w:t xml:space="preserve"> should equal the sum of price and productivity increases in the tradables sector augmented by the change in the foreign wage share. </w:t>
      </w:r>
      <w:r w:rsidR="00B846BB">
        <w:rPr>
          <w:rFonts w:ascii="Times New Roman" w:eastAsiaTheme="minorEastAsia" w:hAnsi="Times New Roman" w:cs="Times New Roman"/>
          <w:sz w:val="24"/>
          <w:szCs w:val="24"/>
          <w:lang w:val="en-GB"/>
        </w:rPr>
        <w:t>Thus</w:t>
      </w:r>
      <w:r w:rsidR="00F11200">
        <w:rPr>
          <w:rFonts w:ascii="Times New Roman" w:eastAsiaTheme="minorEastAsia" w:hAnsi="Times New Roman" w:cs="Times New Roman"/>
          <w:sz w:val="24"/>
          <w:szCs w:val="24"/>
          <w:lang w:val="en-GB"/>
        </w:rPr>
        <w:t>, to obtain</w:t>
      </w:r>
      <w:r w:rsidR="00B846BB">
        <w:rPr>
          <w:rFonts w:ascii="Times New Roman" w:eastAsiaTheme="minorEastAsia" w:hAnsi="Times New Roman" w:cs="Times New Roman"/>
          <w:sz w:val="24"/>
          <w:szCs w:val="24"/>
          <w:lang w:val="en-GB"/>
        </w:rPr>
        <w:t xml:space="preserve"> a benchmark </w:t>
      </w:r>
      <w:r w:rsidR="00F11200">
        <w:rPr>
          <w:rFonts w:ascii="Times New Roman" w:eastAsiaTheme="minorEastAsia" w:hAnsi="Times New Roman" w:cs="Times New Roman"/>
          <w:sz w:val="24"/>
          <w:szCs w:val="24"/>
          <w:lang w:val="en-GB"/>
        </w:rPr>
        <w:t>for the</w:t>
      </w:r>
      <w:r w:rsidR="00B846BB">
        <w:rPr>
          <w:rFonts w:ascii="Times New Roman" w:eastAsiaTheme="minorEastAsia" w:hAnsi="Times New Roman" w:cs="Times New Roman"/>
          <w:sz w:val="24"/>
          <w:szCs w:val="24"/>
          <w:lang w:val="en-GB"/>
        </w:rPr>
        <w:t xml:space="preserve"> wage increase that maintain</w:t>
      </w:r>
      <w:r w:rsidR="00F11200">
        <w:rPr>
          <w:rFonts w:ascii="Times New Roman" w:eastAsiaTheme="minorEastAsia" w:hAnsi="Times New Roman" w:cs="Times New Roman"/>
          <w:sz w:val="24"/>
          <w:szCs w:val="24"/>
          <w:lang w:val="en-GB"/>
        </w:rPr>
        <w:t>s</w:t>
      </w:r>
      <w:r w:rsidR="00B846BB">
        <w:rPr>
          <w:rFonts w:ascii="Times New Roman" w:eastAsiaTheme="minorEastAsia" w:hAnsi="Times New Roman" w:cs="Times New Roman"/>
          <w:sz w:val="24"/>
          <w:szCs w:val="24"/>
          <w:lang w:val="en-GB"/>
        </w:rPr>
        <w:t xml:space="preserve"> a constant </w:t>
      </w:r>
      <w:r w:rsidR="00B846BB" w:rsidRPr="00F11200">
        <w:rPr>
          <w:rFonts w:ascii="Times New Roman" w:eastAsiaTheme="minorEastAsia" w:hAnsi="Times New Roman" w:cs="Times New Roman"/>
          <w:i/>
          <w:iCs/>
          <w:sz w:val="24"/>
          <w:szCs w:val="24"/>
          <w:lang w:val="en-GB"/>
        </w:rPr>
        <w:t>relative</w:t>
      </w:r>
      <w:r w:rsidR="00B846BB">
        <w:rPr>
          <w:rFonts w:ascii="Times New Roman" w:eastAsiaTheme="minorEastAsia" w:hAnsi="Times New Roman" w:cs="Times New Roman"/>
          <w:sz w:val="24"/>
          <w:szCs w:val="24"/>
          <w:lang w:val="en-GB"/>
        </w:rPr>
        <w:t xml:space="preserve"> rate of return vis-à-vis the rest of the world, the “traditional” </w:t>
      </w:r>
      <w:r w:rsidR="00505306">
        <w:rPr>
          <w:rFonts w:ascii="Times New Roman" w:eastAsiaTheme="minorEastAsia" w:hAnsi="Times New Roman" w:cs="Times New Roman"/>
          <w:sz w:val="24"/>
          <w:szCs w:val="24"/>
          <w:lang w:val="en-GB"/>
        </w:rPr>
        <w:t xml:space="preserve">scope </w:t>
      </w:r>
      <w:r w:rsidR="00B846BB">
        <w:rPr>
          <w:rFonts w:ascii="Times New Roman" w:eastAsiaTheme="minorEastAsia" w:hAnsi="Times New Roman" w:cs="Times New Roman"/>
          <w:sz w:val="24"/>
          <w:szCs w:val="24"/>
          <w:lang w:val="en-GB"/>
        </w:rPr>
        <w:t>for wage increases according to the Scandinavian model should be adjusted for the change in the wage share abroad.</w:t>
      </w:r>
    </w:p>
    <w:p w14:paraId="0EF77ADF" w14:textId="7A2A39FA" w:rsidR="00BC131E" w:rsidRDefault="00BC131E" w:rsidP="000E592E">
      <w:pPr>
        <w:spacing w:line="360"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Alternatively, equation (2) </w:t>
      </w:r>
      <w:r w:rsidR="00505306">
        <w:rPr>
          <w:rFonts w:ascii="Times New Roman" w:eastAsiaTheme="minorEastAsia" w:hAnsi="Times New Roman" w:cs="Times New Roman"/>
          <w:sz w:val="24"/>
          <w:szCs w:val="24"/>
          <w:lang w:val="en-GB"/>
        </w:rPr>
        <w:t>can</w:t>
      </w:r>
      <w:r>
        <w:rPr>
          <w:rFonts w:ascii="Times New Roman" w:eastAsiaTheme="minorEastAsia" w:hAnsi="Times New Roman" w:cs="Times New Roman"/>
          <w:sz w:val="24"/>
          <w:szCs w:val="24"/>
          <w:lang w:val="en-GB"/>
        </w:rPr>
        <w:t xml:space="preserve"> be written:</w:t>
      </w:r>
    </w:p>
    <w:p w14:paraId="4ECD5CE6" w14:textId="1DC3F6D7" w:rsidR="00B846BB" w:rsidRDefault="00B846BB" w:rsidP="000E592E">
      <w:pPr>
        <w:spacing w:line="360"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                                     </w:t>
      </w:r>
      <m:oMath>
        <m:r>
          <w:rPr>
            <w:rFonts w:ascii="Cambria Math" w:hAnsi="Cambria Math" w:cs="Times New Roman"/>
            <w:sz w:val="24"/>
            <w:szCs w:val="24"/>
            <w:lang w:val="en-GB"/>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T</m:t>
            </m:r>
          </m:sub>
          <m:sup>
            <m:r>
              <w:rPr>
                <w:rFonts w:ascii="Cambria Math" w:hAnsi="Cambria Math" w:cs="Times New Roman"/>
                <w:sz w:val="24"/>
                <w:szCs w:val="24"/>
              </w:rPr>
              <m:t>F</m:t>
            </m:r>
          </m:sup>
        </m:sSubSup>
        <m:r>
          <w:rPr>
            <w:rFonts w:ascii="Cambria Math" w:hAnsi="Cambria Math" w:cs="Times New Roman"/>
            <w:sz w:val="24"/>
            <w:szCs w:val="24"/>
            <w:lang w:val="en-GB"/>
          </w:rPr>
          <m:t>+</m:t>
        </m:r>
        <m:d>
          <m:dPr>
            <m:ctrlPr>
              <w:rPr>
                <w:rFonts w:ascii="Cambria Math" w:hAnsi="Cambria Math" w:cs="Times New Roman"/>
                <w:i/>
                <w:sz w:val="24"/>
                <w:szCs w:val="24"/>
              </w:rPr>
            </m:ctrlPr>
          </m:dPr>
          <m:e>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m:t>
                </m:r>
              </m:sub>
              <m:sup>
                <m:r>
                  <w:rPr>
                    <w:rFonts w:ascii="Cambria Math" w:hAnsi="Cambria Math" w:cs="Times New Roman"/>
                    <w:sz w:val="24"/>
                    <w:szCs w:val="24"/>
                  </w:rPr>
                  <m:t>H</m:t>
                </m:r>
              </m:sup>
            </m:sSubSup>
          </m:e>
        </m:d>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F</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m:t>
            </m:r>
          </m:sub>
          <m:sup>
            <m:r>
              <w:rPr>
                <w:rFonts w:ascii="Cambria Math" w:hAnsi="Cambria Math" w:cs="Times New Roman"/>
                <w:sz w:val="24"/>
                <w:szCs w:val="24"/>
              </w:rPr>
              <m:t>F</m:t>
            </m:r>
          </m:sup>
        </m:sSubSup>
        <m:r>
          <w:rPr>
            <w:rFonts w:ascii="Cambria Math" w:hAnsi="Cambria Math" w:cs="Times New Roman"/>
            <w:sz w:val="24"/>
            <w:szCs w:val="24"/>
            <w:lang w:val="en-GB"/>
          </w:rPr>
          <m:t>)</m:t>
        </m:r>
      </m:oMath>
      <w:r>
        <w:rPr>
          <w:rFonts w:ascii="Times New Roman" w:eastAsiaTheme="minorEastAsia" w:hAnsi="Times New Roman" w:cs="Times New Roman"/>
          <w:sz w:val="24"/>
          <w:szCs w:val="24"/>
          <w:lang w:val="en-GB"/>
        </w:rPr>
        <w:t xml:space="preserve">                           (3)</w:t>
      </w:r>
    </w:p>
    <w:p w14:paraId="673FF22F" w14:textId="13377916" w:rsidR="00B846BB" w:rsidRDefault="00B846BB" w:rsidP="000E592E">
      <w:pPr>
        <w:spacing w:line="360"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or</w:t>
      </w:r>
    </w:p>
    <w:p w14:paraId="3EC2F12F" w14:textId="3711CAC9" w:rsidR="00B846BB" w:rsidRDefault="00B846BB" w:rsidP="000E592E">
      <w:pPr>
        <w:spacing w:line="360" w:lineRule="auto"/>
        <w:jc w:val="both"/>
        <w:rPr>
          <w:rFonts w:ascii="Times New Roman" w:eastAsiaTheme="minorEastAsia" w:hAnsi="Times New Roman" w:cs="Times New Roman"/>
          <w:sz w:val="24"/>
          <w:szCs w:val="24"/>
          <w:lang w:val="en-GB"/>
        </w:rPr>
      </w:pPr>
      <m:oMath>
        <m:r>
          <w:rPr>
            <w:rFonts w:ascii="Cambria Math" w:hAnsi="Cambria Math" w:cs="Times New Roman"/>
            <w:sz w:val="24"/>
            <w:szCs w:val="24"/>
            <w:lang w:val="en-GB"/>
          </w:rPr>
          <w:lastRenderedPageBreak/>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 ∆</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m:t>
        </m:r>
        <m:d>
          <m:dPr>
            <m:ctrlPr>
              <w:rPr>
                <w:rFonts w:ascii="Cambria Math" w:hAnsi="Cambria Math" w:cs="Times New Roman"/>
                <w:i/>
                <w:sz w:val="24"/>
                <w:szCs w:val="24"/>
              </w:rPr>
            </m:ctrlPr>
          </m:dPr>
          <m:e>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T</m:t>
                </m:r>
              </m:sub>
              <m:sup>
                <m:r>
                  <w:rPr>
                    <w:rFonts w:ascii="Cambria Math" w:hAnsi="Cambria Math" w:cs="Times New Roman"/>
                    <w:sz w:val="24"/>
                    <w:szCs w:val="24"/>
                  </w:rPr>
                  <m:t>F</m:t>
                </m:r>
              </m:sup>
            </m:sSubSup>
            <m:r>
              <w:rPr>
                <w:rFonts w:ascii="Cambria Math" w:eastAsiaTheme="minorEastAsia" w:hAnsi="Cambria Math" w:cs="Times New Roman"/>
                <w:sz w:val="24"/>
                <w:szCs w:val="24"/>
                <w:lang w:val="en-GB"/>
              </w:rPr>
              <m:t>-</m:t>
            </m:r>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m:t>
                </m:r>
              </m:sub>
              <m:sup>
                <m:r>
                  <w:rPr>
                    <w:rFonts w:ascii="Cambria Math" w:hAnsi="Cambria Math" w:cs="Times New Roman"/>
                    <w:sz w:val="24"/>
                    <w:szCs w:val="24"/>
                  </w:rPr>
                  <m:t>F</m:t>
                </m:r>
              </m:sup>
            </m:sSubSup>
          </m:e>
        </m:d>
        <m:r>
          <w:rPr>
            <w:rFonts w:ascii="Cambria Math" w:hAnsi="Cambria Math" w:cs="Times New Roman"/>
            <w:sz w:val="24"/>
            <w:szCs w:val="24"/>
            <w:lang w:val="en-GB"/>
          </w:rPr>
          <m:t>+</m:t>
        </m:r>
        <m:d>
          <m:dPr>
            <m:ctrlPr>
              <w:rPr>
                <w:rFonts w:ascii="Cambria Math" w:hAnsi="Cambria Math" w:cs="Times New Roman"/>
                <w:i/>
                <w:sz w:val="24"/>
                <w:szCs w:val="24"/>
              </w:rPr>
            </m:ctrlPr>
          </m:dPr>
          <m:e>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F</m:t>
                </m:r>
              </m:sup>
            </m:sSubSup>
          </m:e>
        </m:d>
        <m:r>
          <w:rPr>
            <w:rFonts w:ascii="Cambria Math" w:hAnsi="Cambria Math" w:cs="Times New Roman"/>
            <w:sz w:val="24"/>
            <w:szCs w:val="24"/>
            <w:lang w:val="en-GB"/>
          </w:rPr>
          <m:t>.</m:t>
        </m:r>
      </m:oMath>
      <w:r>
        <w:rPr>
          <w:rFonts w:ascii="Times New Roman" w:eastAsiaTheme="minorEastAsia" w:hAnsi="Times New Roman" w:cs="Times New Roman"/>
          <w:sz w:val="24"/>
          <w:szCs w:val="24"/>
          <w:lang w:val="en-GB"/>
        </w:rPr>
        <w:t xml:space="preserve">                          (4)     </w:t>
      </w:r>
    </w:p>
    <w:p w14:paraId="6D25CA55" w14:textId="4B4968E3" w:rsidR="00BC131E" w:rsidRPr="00B846BB" w:rsidRDefault="00B846BB" w:rsidP="000E592E">
      <w:pPr>
        <w:spacing w:line="360"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According to equation (3) the constant constant-relative-return benchmark for wage increases would thus </w:t>
      </w:r>
      <w:r w:rsidR="00C47242">
        <w:rPr>
          <w:rFonts w:ascii="Times New Roman" w:eastAsiaTheme="minorEastAsia" w:hAnsi="Times New Roman" w:cs="Times New Roman"/>
          <w:sz w:val="24"/>
          <w:szCs w:val="24"/>
          <w:lang w:val="en-GB"/>
        </w:rPr>
        <w:t>be foreign wage</w:t>
      </w:r>
      <w:r w:rsidR="0021540E">
        <w:rPr>
          <w:rFonts w:ascii="Times New Roman" w:eastAsiaTheme="minorEastAsia" w:hAnsi="Times New Roman" w:cs="Times New Roman"/>
          <w:sz w:val="24"/>
          <w:szCs w:val="24"/>
          <w:lang w:val="en-GB"/>
        </w:rPr>
        <w:t xml:space="preserve"> cost</w:t>
      </w:r>
      <w:r w:rsidR="00C47242">
        <w:rPr>
          <w:rFonts w:ascii="Times New Roman" w:eastAsiaTheme="minorEastAsia" w:hAnsi="Times New Roman" w:cs="Times New Roman"/>
          <w:sz w:val="24"/>
          <w:szCs w:val="24"/>
          <w:lang w:val="en-GB"/>
        </w:rPr>
        <w:t xml:space="preserve"> increases plus the difference between the domestic and the foreign </w:t>
      </w:r>
      <w:r w:rsidR="0036208F">
        <w:rPr>
          <w:rFonts w:ascii="Times New Roman" w:eastAsiaTheme="minorEastAsia" w:hAnsi="Times New Roman" w:cs="Times New Roman"/>
          <w:sz w:val="24"/>
          <w:szCs w:val="24"/>
          <w:lang w:val="en-GB"/>
        </w:rPr>
        <w:t>rooms</w:t>
      </w:r>
      <w:r w:rsidR="00C47242">
        <w:rPr>
          <w:rFonts w:ascii="Times New Roman" w:eastAsiaTheme="minorEastAsia" w:hAnsi="Times New Roman" w:cs="Times New Roman"/>
          <w:sz w:val="24"/>
          <w:szCs w:val="24"/>
          <w:lang w:val="en-GB"/>
        </w:rPr>
        <w:t xml:space="preserve"> for wage</w:t>
      </w:r>
      <w:r w:rsidR="0021540E">
        <w:rPr>
          <w:rFonts w:ascii="Times New Roman" w:eastAsiaTheme="minorEastAsia" w:hAnsi="Times New Roman" w:cs="Times New Roman"/>
          <w:sz w:val="24"/>
          <w:szCs w:val="24"/>
          <w:lang w:val="en-GB"/>
        </w:rPr>
        <w:t xml:space="preserve"> cost</w:t>
      </w:r>
      <w:r w:rsidR="00C47242">
        <w:rPr>
          <w:rFonts w:ascii="Times New Roman" w:eastAsiaTheme="minorEastAsia" w:hAnsi="Times New Roman" w:cs="Times New Roman"/>
          <w:sz w:val="24"/>
          <w:szCs w:val="24"/>
          <w:lang w:val="en-GB"/>
        </w:rPr>
        <w:t xml:space="preserve"> increases, </w:t>
      </w:r>
      <m:oMath>
        <m:d>
          <m:dPr>
            <m:ctrlPr>
              <w:rPr>
                <w:rFonts w:ascii="Cambria Math" w:hAnsi="Cambria Math" w:cs="Times New Roman"/>
                <w:i/>
                <w:sz w:val="24"/>
                <w:szCs w:val="24"/>
              </w:rPr>
            </m:ctrlPr>
          </m:dPr>
          <m:e>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m:t>
                </m:r>
              </m:sub>
              <m:sup>
                <m:r>
                  <w:rPr>
                    <w:rFonts w:ascii="Cambria Math" w:hAnsi="Cambria Math" w:cs="Times New Roman"/>
                    <w:sz w:val="24"/>
                    <w:szCs w:val="24"/>
                  </w:rPr>
                  <m:t>H</m:t>
                </m:r>
              </m:sup>
            </m:sSubSup>
          </m:e>
        </m:d>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F</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m:t>
            </m:r>
          </m:sub>
          <m:sup>
            <m:r>
              <w:rPr>
                <w:rFonts w:ascii="Cambria Math" w:hAnsi="Cambria Math" w:cs="Times New Roman"/>
                <w:sz w:val="24"/>
                <w:szCs w:val="24"/>
              </w:rPr>
              <m:t>F</m:t>
            </m:r>
          </m:sup>
        </m:sSubSup>
        <m:r>
          <w:rPr>
            <w:rFonts w:ascii="Cambria Math" w:hAnsi="Cambria Math" w:cs="Times New Roman"/>
            <w:sz w:val="24"/>
            <w:szCs w:val="24"/>
            <w:lang w:val="en-GB"/>
          </w:rPr>
          <m:t>)</m:t>
        </m:r>
      </m:oMath>
      <w:r w:rsidR="00C47242">
        <w:rPr>
          <w:rFonts w:ascii="Times New Roman" w:eastAsiaTheme="minorEastAsia" w:hAnsi="Times New Roman" w:cs="Times New Roman"/>
          <w:sz w:val="24"/>
          <w:szCs w:val="24"/>
          <w:lang w:val="en-GB"/>
        </w:rPr>
        <w:t xml:space="preserve">. If these rooms are equal, the benchmark </w:t>
      </w:r>
      <w:r w:rsidR="00226BF4">
        <w:rPr>
          <w:rFonts w:ascii="Times New Roman" w:eastAsiaTheme="minorEastAsia" w:hAnsi="Times New Roman" w:cs="Times New Roman"/>
          <w:sz w:val="24"/>
          <w:szCs w:val="24"/>
          <w:lang w:val="en-GB"/>
        </w:rPr>
        <w:t>is</w:t>
      </w:r>
      <w:r w:rsidR="00C47242">
        <w:rPr>
          <w:rFonts w:ascii="Times New Roman" w:eastAsiaTheme="minorEastAsia" w:hAnsi="Times New Roman" w:cs="Times New Roman"/>
          <w:sz w:val="24"/>
          <w:szCs w:val="24"/>
          <w:lang w:val="en-GB"/>
        </w:rPr>
        <w:t xml:space="preserve"> that wage changes should be the same. Alternatively, the benchmark can be expressed as equation </w:t>
      </w:r>
      <w:r w:rsidR="00355D62">
        <w:rPr>
          <w:rFonts w:ascii="Times New Roman" w:eastAsiaTheme="minorEastAsia" w:hAnsi="Times New Roman" w:cs="Times New Roman"/>
          <w:sz w:val="24"/>
          <w:szCs w:val="24"/>
          <w:lang w:val="en-GB"/>
        </w:rPr>
        <w:t>(</w:t>
      </w:r>
      <w:r w:rsidR="00C47242">
        <w:rPr>
          <w:rFonts w:ascii="Times New Roman" w:eastAsiaTheme="minorEastAsia" w:hAnsi="Times New Roman" w:cs="Times New Roman"/>
          <w:sz w:val="24"/>
          <w:szCs w:val="24"/>
          <w:lang w:val="en-GB"/>
        </w:rPr>
        <w:t>4</w:t>
      </w:r>
      <w:r w:rsidR="00355D62">
        <w:rPr>
          <w:rFonts w:ascii="Times New Roman" w:eastAsiaTheme="minorEastAsia" w:hAnsi="Times New Roman" w:cs="Times New Roman"/>
          <w:sz w:val="24"/>
          <w:szCs w:val="24"/>
          <w:lang w:val="en-GB"/>
        </w:rPr>
        <w:t>)</w:t>
      </w:r>
      <w:r w:rsidR="00C47242">
        <w:rPr>
          <w:rFonts w:ascii="Times New Roman" w:eastAsiaTheme="minorEastAsia" w:hAnsi="Times New Roman" w:cs="Times New Roman"/>
          <w:sz w:val="24"/>
          <w:szCs w:val="24"/>
          <w:lang w:val="en-GB"/>
        </w:rPr>
        <w:t xml:space="preserve">, which </w:t>
      </w:r>
      <w:r w:rsidR="00C12547">
        <w:rPr>
          <w:rFonts w:ascii="Times New Roman" w:eastAsiaTheme="minorEastAsia" w:hAnsi="Times New Roman" w:cs="Times New Roman"/>
          <w:sz w:val="24"/>
          <w:szCs w:val="24"/>
          <w:lang w:val="en-GB"/>
        </w:rPr>
        <w:t>states</w:t>
      </w:r>
      <w:r w:rsidR="00C47242">
        <w:rPr>
          <w:rFonts w:ascii="Times New Roman" w:eastAsiaTheme="minorEastAsia" w:hAnsi="Times New Roman" w:cs="Times New Roman"/>
          <w:sz w:val="24"/>
          <w:szCs w:val="24"/>
          <w:lang w:val="en-GB"/>
        </w:rPr>
        <w:t xml:space="preserve"> that the change in the domestic unit labour cost should equal the sum of the change in the foreign unit labour cost and the difference in price changes.</w:t>
      </w:r>
      <w:r w:rsidR="00282A57">
        <w:rPr>
          <w:rStyle w:val="FootnoteReference"/>
          <w:rFonts w:ascii="Times New Roman" w:eastAsiaTheme="minorEastAsia" w:hAnsi="Times New Roman" w:cs="Times New Roman"/>
          <w:sz w:val="24"/>
          <w:szCs w:val="24"/>
          <w:lang w:val="en-GB"/>
        </w:rPr>
        <w:footnoteReference w:id="19"/>
      </w:r>
      <w:r w:rsidR="00C47242">
        <w:rPr>
          <w:rFonts w:ascii="Times New Roman" w:eastAsiaTheme="minorEastAsia" w:hAnsi="Times New Roman" w:cs="Times New Roman"/>
          <w:sz w:val="24"/>
          <w:szCs w:val="24"/>
          <w:lang w:val="en-GB"/>
        </w:rPr>
        <w:t xml:space="preserve"> If price increases are the same, the condition simplifies to</w:t>
      </w:r>
      <w:r w:rsidR="0021540E">
        <w:rPr>
          <w:rFonts w:ascii="Times New Roman" w:eastAsiaTheme="minorEastAsia" w:hAnsi="Times New Roman" w:cs="Times New Roman"/>
          <w:sz w:val="24"/>
          <w:szCs w:val="24"/>
          <w:lang w:val="en-GB"/>
        </w:rPr>
        <w:t xml:space="preserve"> </w:t>
      </w:r>
      <w:r w:rsidR="00C12547">
        <w:rPr>
          <w:rFonts w:ascii="Times New Roman" w:eastAsiaTheme="minorEastAsia" w:hAnsi="Times New Roman" w:cs="Times New Roman"/>
          <w:sz w:val="24"/>
          <w:szCs w:val="24"/>
          <w:lang w:val="en-GB"/>
        </w:rPr>
        <w:t>changes</w:t>
      </w:r>
      <w:r w:rsidR="0033410A">
        <w:rPr>
          <w:rFonts w:ascii="Times New Roman" w:eastAsiaTheme="minorEastAsia" w:hAnsi="Times New Roman" w:cs="Times New Roman"/>
          <w:sz w:val="24"/>
          <w:szCs w:val="24"/>
          <w:lang w:val="en-GB"/>
        </w:rPr>
        <w:t xml:space="preserve"> in unit labour costs being the same.</w:t>
      </w:r>
      <w:r w:rsidR="0033410A">
        <w:rPr>
          <w:rStyle w:val="FootnoteReference"/>
          <w:rFonts w:ascii="Times New Roman" w:eastAsiaTheme="minorEastAsia" w:hAnsi="Times New Roman" w:cs="Times New Roman"/>
          <w:sz w:val="24"/>
          <w:szCs w:val="24"/>
          <w:lang w:val="en-GB"/>
        </w:rPr>
        <w:footnoteReference w:id="20"/>
      </w:r>
      <w:r w:rsidR="0033410A">
        <w:rPr>
          <w:rFonts w:ascii="Times New Roman" w:eastAsiaTheme="minorEastAsia" w:hAnsi="Times New Roman" w:cs="Times New Roman"/>
          <w:sz w:val="24"/>
          <w:szCs w:val="24"/>
          <w:lang w:val="en-GB"/>
        </w:rPr>
        <w:t xml:space="preserve">       </w:t>
      </w:r>
      <w:r w:rsidR="0021540E">
        <w:rPr>
          <w:rFonts w:ascii="Times New Roman" w:eastAsiaTheme="minorEastAsia" w:hAnsi="Times New Roman" w:cs="Times New Roman"/>
          <w:sz w:val="24"/>
          <w:szCs w:val="24"/>
          <w:lang w:val="en-GB"/>
        </w:rPr>
        <w:t xml:space="preserve">                                              </w:t>
      </w:r>
    </w:p>
    <w:p w14:paraId="2D3156B2" w14:textId="456B3BB3" w:rsidR="00C16075" w:rsidRDefault="007F226F" w:rsidP="00C16075">
      <w:pPr>
        <w:pStyle w:val="Heading1"/>
        <w:rPr>
          <w:lang w:val="en-GB"/>
        </w:rPr>
      </w:pPr>
      <w:r>
        <w:rPr>
          <w:lang w:val="en-GB"/>
        </w:rPr>
        <w:t>4</w:t>
      </w:r>
      <w:r w:rsidR="0018261D">
        <w:rPr>
          <w:lang w:val="en-GB"/>
        </w:rPr>
        <w:t xml:space="preserve"> Recent </w:t>
      </w:r>
      <w:r w:rsidR="0055258B">
        <w:rPr>
          <w:lang w:val="en-GB"/>
        </w:rPr>
        <w:t xml:space="preserve">wage </w:t>
      </w:r>
      <w:r>
        <w:rPr>
          <w:lang w:val="en-GB"/>
        </w:rPr>
        <w:t xml:space="preserve">cost </w:t>
      </w:r>
      <w:r w:rsidR="0055258B">
        <w:rPr>
          <w:lang w:val="en-GB"/>
        </w:rPr>
        <w:t>developments in the Nordic</w:t>
      </w:r>
      <w:r w:rsidR="00A65145">
        <w:rPr>
          <w:lang w:val="en-GB"/>
        </w:rPr>
        <w:t>s</w:t>
      </w:r>
    </w:p>
    <w:p w14:paraId="63E503D9" w14:textId="682E362D" w:rsidR="00C16075" w:rsidRDefault="00C16075" w:rsidP="00C16075">
      <w:pPr>
        <w:rPr>
          <w:rFonts w:ascii="Times New Roman" w:hAnsi="Times New Roman" w:cs="Times New Roman"/>
          <w:sz w:val="24"/>
          <w:szCs w:val="24"/>
          <w:lang w:val="en-GB"/>
        </w:rPr>
      </w:pPr>
      <w:r w:rsidRPr="006E45FB">
        <w:rPr>
          <w:rFonts w:ascii="Times New Roman" w:hAnsi="Times New Roman" w:cs="Times New Roman"/>
          <w:sz w:val="24"/>
          <w:szCs w:val="24"/>
          <w:lang w:val="en-GB"/>
        </w:rPr>
        <w:t xml:space="preserve">This </w:t>
      </w:r>
      <w:r w:rsidR="006E45FB">
        <w:rPr>
          <w:rFonts w:ascii="Times New Roman" w:hAnsi="Times New Roman" w:cs="Times New Roman"/>
          <w:sz w:val="24"/>
          <w:szCs w:val="24"/>
          <w:lang w:val="en-GB"/>
        </w:rPr>
        <w:t>section shows var</w:t>
      </w:r>
      <w:r w:rsidR="00A65145">
        <w:rPr>
          <w:rFonts w:ascii="Times New Roman" w:hAnsi="Times New Roman" w:cs="Times New Roman"/>
          <w:sz w:val="24"/>
          <w:szCs w:val="24"/>
          <w:lang w:val="en-GB"/>
        </w:rPr>
        <w:t>ious measures of wage cost developments in the Nordic countries.</w:t>
      </w:r>
    </w:p>
    <w:p w14:paraId="03F1EAAF" w14:textId="77777777" w:rsidR="00F3130E" w:rsidRDefault="00EA5EB2" w:rsidP="00BC78B7">
      <w:pPr>
        <w:pStyle w:val="Heading2"/>
        <w:rPr>
          <w:lang w:val="en-GB"/>
        </w:rPr>
      </w:pPr>
      <w:r>
        <w:rPr>
          <w:lang w:val="en-GB"/>
        </w:rPr>
        <w:t>4.1</w:t>
      </w:r>
      <w:r w:rsidR="003E7A90">
        <w:rPr>
          <w:lang w:val="en-GB"/>
        </w:rPr>
        <w:t xml:space="preserve"> Nominal wage cost and real wage changes</w:t>
      </w:r>
    </w:p>
    <w:p w14:paraId="31B2EAF1" w14:textId="7FCDD9E0" w:rsidR="00091D61" w:rsidRPr="00F3130E" w:rsidRDefault="00A21B23" w:rsidP="00F3130E">
      <w:pPr>
        <w:pStyle w:val="Heading2"/>
        <w:spacing w:line="360" w:lineRule="auto"/>
        <w:jc w:val="both"/>
        <w:rPr>
          <w:color w:val="auto"/>
          <w:lang w:val="en-GB"/>
        </w:rPr>
      </w:pPr>
      <w:r w:rsidRPr="00F3130E">
        <w:rPr>
          <w:rFonts w:ascii="Times New Roman" w:hAnsi="Times New Roman" w:cs="Times New Roman"/>
          <w:color w:val="auto"/>
          <w:sz w:val="24"/>
          <w:szCs w:val="24"/>
          <w:lang w:val="en-GB"/>
        </w:rPr>
        <w:t>Figure 1</w:t>
      </w:r>
      <w:r w:rsidR="00FF222B" w:rsidRPr="00F3130E">
        <w:rPr>
          <w:rFonts w:ascii="Times New Roman" w:hAnsi="Times New Roman" w:cs="Times New Roman"/>
          <w:color w:val="auto"/>
          <w:sz w:val="24"/>
          <w:szCs w:val="24"/>
          <w:lang w:val="en-GB"/>
        </w:rPr>
        <w:t>a</w:t>
      </w:r>
      <w:r w:rsidRPr="00F3130E">
        <w:rPr>
          <w:rFonts w:ascii="Times New Roman" w:hAnsi="Times New Roman" w:cs="Times New Roman"/>
          <w:color w:val="auto"/>
          <w:sz w:val="24"/>
          <w:szCs w:val="24"/>
          <w:lang w:val="en-GB"/>
        </w:rPr>
        <w:t xml:space="preserve"> shows </w:t>
      </w:r>
      <w:r w:rsidR="00B23072" w:rsidRPr="00F3130E">
        <w:rPr>
          <w:rFonts w:ascii="Times New Roman" w:hAnsi="Times New Roman" w:cs="Times New Roman"/>
          <w:color w:val="auto"/>
          <w:sz w:val="24"/>
          <w:szCs w:val="24"/>
          <w:lang w:val="en-GB"/>
        </w:rPr>
        <w:t xml:space="preserve">annual </w:t>
      </w:r>
      <w:r w:rsidR="00C332E8" w:rsidRPr="00F3130E">
        <w:rPr>
          <w:rFonts w:ascii="Times New Roman" w:hAnsi="Times New Roman" w:cs="Times New Roman"/>
          <w:color w:val="auto"/>
          <w:sz w:val="24"/>
          <w:szCs w:val="24"/>
          <w:lang w:val="en-GB"/>
        </w:rPr>
        <w:t>nominal wage cost changes in</w:t>
      </w:r>
      <w:r w:rsidR="00A74A25" w:rsidRPr="00F3130E">
        <w:rPr>
          <w:rFonts w:ascii="Times New Roman" w:hAnsi="Times New Roman" w:cs="Times New Roman"/>
          <w:color w:val="auto"/>
          <w:sz w:val="24"/>
          <w:szCs w:val="24"/>
          <w:lang w:val="en-GB"/>
        </w:rPr>
        <w:t xml:space="preserve"> manufacturing in</w:t>
      </w:r>
      <w:r w:rsidR="00C332E8" w:rsidRPr="00F3130E">
        <w:rPr>
          <w:rFonts w:ascii="Times New Roman" w:hAnsi="Times New Roman" w:cs="Times New Roman"/>
          <w:color w:val="auto"/>
          <w:sz w:val="24"/>
          <w:szCs w:val="24"/>
          <w:lang w:val="en-GB"/>
        </w:rPr>
        <w:t xml:space="preserve"> the Nordic countries and </w:t>
      </w:r>
      <w:r w:rsidR="00FE4E13" w:rsidRPr="00F3130E">
        <w:rPr>
          <w:rFonts w:ascii="Times New Roman" w:hAnsi="Times New Roman" w:cs="Times New Roman"/>
          <w:color w:val="auto"/>
          <w:sz w:val="24"/>
          <w:szCs w:val="24"/>
          <w:lang w:val="en-GB"/>
        </w:rPr>
        <w:t>the euro area</w:t>
      </w:r>
      <w:r w:rsidR="00C332E8" w:rsidRPr="00F3130E">
        <w:rPr>
          <w:rFonts w:ascii="Times New Roman" w:hAnsi="Times New Roman" w:cs="Times New Roman"/>
          <w:color w:val="auto"/>
          <w:sz w:val="24"/>
          <w:szCs w:val="24"/>
          <w:lang w:val="en-GB"/>
        </w:rPr>
        <w:t xml:space="preserve"> </w:t>
      </w:r>
      <w:r w:rsidR="00A84577" w:rsidRPr="00F3130E">
        <w:rPr>
          <w:rFonts w:ascii="Times New Roman" w:hAnsi="Times New Roman" w:cs="Times New Roman"/>
          <w:color w:val="auto"/>
          <w:sz w:val="24"/>
          <w:szCs w:val="24"/>
          <w:lang w:val="en-GB"/>
        </w:rPr>
        <w:t>in 2001</w:t>
      </w:r>
      <w:r w:rsidR="00A07AFA" w:rsidRPr="00F3130E">
        <w:rPr>
          <w:rFonts w:ascii="Times New Roman" w:hAnsi="Times New Roman" w:cs="Times New Roman"/>
          <w:color w:val="auto"/>
          <w:sz w:val="24"/>
          <w:szCs w:val="24"/>
          <w:lang w:val="en-GB"/>
        </w:rPr>
        <w:t>–</w:t>
      </w:r>
      <w:r w:rsidR="00A84577" w:rsidRPr="00F3130E">
        <w:rPr>
          <w:rFonts w:ascii="Times New Roman" w:hAnsi="Times New Roman" w:cs="Times New Roman"/>
          <w:color w:val="auto"/>
          <w:sz w:val="24"/>
          <w:szCs w:val="24"/>
          <w:lang w:val="en-GB"/>
        </w:rPr>
        <w:t>23</w:t>
      </w:r>
      <w:r w:rsidR="00A07AFA" w:rsidRPr="00F3130E">
        <w:rPr>
          <w:rFonts w:ascii="Times New Roman" w:hAnsi="Times New Roman" w:cs="Times New Roman"/>
          <w:color w:val="auto"/>
          <w:sz w:val="24"/>
          <w:szCs w:val="24"/>
          <w:lang w:val="en-GB"/>
        </w:rPr>
        <w:t xml:space="preserve">. </w:t>
      </w:r>
      <w:r w:rsidR="00D52730" w:rsidRPr="00F3130E">
        <w:rPr>
          <w:rFonts w:ascii="Times New Roman" w:hAnsi="Times New Roman" w:cs="Times New Roman"/>
          <w:color w:val="auto"/>
          <w:sz w:val="24"/>
          <w:szCs w:val="24"/>
          <w:lang w:val="en-GB"/>
        </w:rPr>
        <w:t>Average increases were the highest in Norway</w:t>
      </w:r>
      <w:r w:rsidR="00505115" w:rsidRPr="00F3130E">
        <w:rPr>
          <w:rFonts w:ascii="Times New Roman" w:hAnsi="Times New Roman" w:cs="Times New Roman"/>
          <w:color w:val="auto"/>
          <w:sz w:val="24"/>
          <w:szCs w:val="24"/>
          <w:lang w:val="en-GB"/>
        </w:rPr>
        <w:t xml:space="preserve">, </w:t>
      </w:r>
      <w:r w:rsidR="0043538A" w:rsidRPr="00F3130E">
        <w:rPr>
          <w:rFonts w:ascii="Times New Roman" w:hAnsi="Times New Roman" w:cs="Times New Roman"/>
          <w:color w:val="auto"/>
          <w:sz w:val="24"/>
          <w:szCs w:val="24"/>
          <w:lang w:val="en-GB"/>
        </w:rPr>
        <w:t>4.1</w:t>
      </w:r>
      <w:r w:rsidR="00367A74" w:rsidRPr="00F3130E">
        <w:rPr>
          <w:rFonts w:ascii="Times New Roman" w:hAnsi="Times New Roman" w:cs="Times New Roman"/>
          <w:color w:val="auto"/>
          <w:sz w:val="24"/>
          <w:szCs w:val="24"/>
          <w:lang w:val="en-GB"/>
        </w:rPr>
        <w:t>%</w:t>
      </w:r>
      <w:r w:rsidR="00505115" w:rsidRPr="00F3130E">
        <w:rPr>
          <w:rFonts w:ascii="Times New Roman" w:hAnsi="Times New Roman" w:cs="Times New Roman"/>
          <w:color w:val="auto"/>
          <w:sz w:val="24"/>
          <w:szCs w:val="24"/>
          <w:lang w:val="en-GB"/>
        </w:rPr>
        <w:t>,</w:t>
      </w:r>
      <w:r w:rsidR="00367A74" w:rsidRPr="00F3130E">
        <w:rPr>
          <w:rFonts w:ascii="Times New Roman" w:hAnsi="Times New Roman" w:cs="Times New Roman"/>
          <w:color w:val="auto"/>
          <w:sz w:val="24"/>
          <w:szCs w:val="24"/>
          <w:lang w:val="en-GB"/>
        </w:rPr>
        <w:t xml:space="preserve"> and the lowest in </w:t>
      </w:r>
      <w:r w:rsidR="00173620" w:rsidRPr="00F3130E">
        <w:rPr>
          <w:rFonts w:ascii="Times New Roman" w:hAnsi="Times New Roman" w:cs="Times New Roman"/>
          <w:color w:val="auto"/>
          <w:sz w:val="24"/>
          <w:szCs w:val="24"/>
          <w:lang w:val="en-GB"/>
        </w:rPr>
        <w:t>Finland and Denmark</w:t>
      </w:r>
      <w:r w:rsidR="00505115" w:rsidRPr="00F3130E">
        <w:rPr>
          <w:rFonts w:ascii="Times New Roman" w:hAnsi="Times New Roman" w:cs="Times New Roman"/>
          <w:color w:val="auto"/>
          <w:sz w:val="24"/>
          <w:szCs w:val="24"/>
          <w:lang w:val="en-GB"/>
        </w:rPr>
        <w:t xml:space="preserve">, </w:t>
      </w:r>
      <w:r w:rsidR="00173620" w:rsidRPr="00F3130E">
        <w:rPr>
          <w:rFonts w:ascii="Times New Roman" w:hAnsi="Times New Roman" w:cs="Times New Roman"/>
          <w:color w:val="auto"/>
          <w:sz w:val="24"/>
          <w:szCs w:val="24"/>
          <w:lang w:val="en-GB"/>
        </w:rPr>
        <w:t>2</w:t>
      </w:r>
      <w:r w:rsidR="00533322" w:rsidRPr="00F3130E">
        <w:rPr>
          <w:rFonts w:ascii="Times New Roman" w:hAnsi="Times New Roman" w:cs="Times New Roman"/>
          <w:color w:val="auto"/>
          <w:sz w:val="24"/>
          <w:szCs w:val="24"/>
          <w:lang w:val="en-GB"/>
        </w:rPr>
        <w:t>.</w:t>
      </w:r>
      <w:r w:rsidR="00173620" w:rsidRPr="00F3130E">
        <w:rPr>
          <w:rFonts w:ascii="Times New Roman" w:hAnsi="Times New Roman" w:cs="Times New Roman"/>
          <w:color w:val="auto"/>
          <w:sz w:val="24"/>
          <w:szCs w:val="24"/>
          <w:lang w:val="en-GB"/>
        </w:rPr>
        <w:t>7</w:t>
      </w:r>
      <w:r w:rsidR="00A43F5C" w:rsidRPr="00F3130E">
        <w:rPr>
          <w:rFonts w:ascii="Times New Roman" w:hAnsi="Times New Roman" w:cs="Times New Roman"/>
          <w:color w:val="auto"/>
          <w:sz w:val="24"/>
          <w:szCs w:val="24"/>
          <w:lang w:val="en-GB"/>
        </w:rPr>
        <w:t>%</w:t>
      </w:r>
      <w:r w:rsidR="00533322" w:rsidRPr="00F3130E">
        <w:rPr>
          <w:rFonts w:ascii="Times New Roman" w:hAnsi="Times New Roman" w:cs="Times New Roman"/>
          <w:color w:val="auto"/>
          <w:sz w:val="24"/>
          <w:szCs w:val="24"/>
          <w:lang w:val="en-GB"/>
        </w:rPr>
        <w:t xml:space="preserve"> and 2.8% respectively,</w:t>
      </w:r>
      <w:r w:rsidR="00A43F5C" w:rsidRPr="00F3130E">
        <w:rPr>
          <w:rFonts w:ascii="Times New Roman" w:hAnsi="Times New Roman" w:cs="Times New Roman"/>
          <w:color w:val="auto"/>
          <w:sz w:val="24"/>
          <w:szCs w:val="24"/>
          <w:lang w:val="en-GB"/>
        </w:rPr>
        <w:t xml:space="preserve"> </w:t>
      </w:r>
      <w:r w:rsidR="00367A74" w:rsidRPr="00F3130E">
        <w:rPr>
          <w:rFonts w:ascii="Times New Roman" w:hAnsi="Times New Roman" w:cs="Times New Roman"/>
          <w:color w:val="auto"/>
          <w:sz w:val="24"/>
          <w:szCs w:val="24"/>
          <w:lang w:val="en-GB"/>
        </w:rPr>
        <w:t xml:space="preserve">with </w:t>
      </w:r>
      <w:r w:rsidR="00533322" w:rsidRPr="00F3130E">
        <w:rPr>
          <w:rFonts w:ascii="Times New Roman" w:hAnsi="Times New Roman" w:cs="Times New Roman"/>
          <w:color w:val="auto"/>
          <w:sz w:val="24"/>
          <w:szCs w:val="24"/>
          <w:lang w:val="en-GB"/>
        </w:rPr>
        <w:t>Sweden</w:t>
      </w:r>
      <w:r w:rsidR="00BE2AE0" w:rsidRPr="00F3130E">
        <w:rPr>
          <w:rFonts w:ascii="Times New Roman" w:hAnsi="Times New Roman" w:cs="Times New Roman"/>
          <w:color w:val="auto"/>
          <w:sz w:val="24"/>
          <w:szCs w:val="24"/>
          <w:lang w:val="en-GB"/>
        </w:rPr>
        <w:t>, 3.1%,</w:t>
      </w:r>
      <w:r w:rsidR="00367A74" w:rsidRPr="00F3130E">
        <w:rPr>
          <w:rFonts w:ascii="Times New Roman" w:hAnsi="Times New Roman" w:cs="Times New Roman"/>
          <w:color w:val="auto"/>
          <w:sz w:val="24"/>
          <w:szCs w:val="24"/>
          <w:lang w:val="en-GB"/>
        </w:rPr>
        <w:t xml:space="preserve"> </w:t>
      </w:r>
      <w:r w:rsidR="00886E1F" w:rsidRPr="00F3130E">
        <w:rPr>
          <w:rFonts w:ascii="Times New Roman" w:hAnsi="Times New Roman" w:cs="Times New Roman"/>
          <w:color w:val="auto"/>
          <w:sz w:val="24"/>
          <w:szCs w:val="24"/>
          <w:lang w:val="en-GB"/>
        </w:rPr>
        <w:t xml:space="preserve">in </w:t>
      </w:r>
      <w:r w:rsidR="00CF3558" w:rsidRPr="00F3130E">
        <w:rPr>
          <w:rFonts w:ascii="Times New Roman" w:hAnsi="Times New Roman" w:cs="Times New Roman"/>
          <w:color w:val="auto"/>
          <w:sz w:val="24"/>
          <w:szCs w:val="24"/>
          <w:lang w:val="en-GB"/>
        </w:rPr>
        <w:t xml:space="preserve">between. </w:t>
      </w:r>
      <w:r w:rsidR="00E90897" w:rsidRPr="00F3130E">
        <w:rPr>
          <w:rFonts w:ascii="Times New Roman" w:hAnsi="Times New Roman" w:cs="Times New Roman"/>
          <w:color w:val="auto"/>
          <w:sz w:val="24"/>
          <w:szCs w:val="24"/>
          <w:lang w:val="en-GB"/>
        </w:rPr>
        <w:t xml:space="preserve">The high wage </w:t>
      </w:r>
      <w:r w:rsidR="00B902DF" w:rsidRPr="00F3130E">
        <w:rPr>
          <w:rFonts w:ascii="Times New Roman" w:hAnsi="Times New Roman" w:cs="Times New Roman"/>
          <w:color w:val="auto"/>
          <w:sz w:val="24"/>
          <w:szCs w:val="24"/>
          <w:lang w:val="en-GB"/>
        </w:rPr>
        <w:t xml:space="preserve">cost increases in Norway </w:t>
      </w:r>
      <w:r w:rsidR="00CF3558" w:rsidRPr="00F3130E">
        <w:rPr>
          <w:rFonts w:ascii="Times New Roman" w:hAnsi="Times New Roman" w:cs="Times New Roman"/>
          <w:color w:val="auto"/>
          <w:sz w:val="24"/>
          <w:szCs w:val="24"/>
          <w:lang w:val="en-GB"/>
        </w:rPr>
        <w:t>occurred</w:t>
      </w:r>
      <w:r w:rsidR="00B902DF" w:rsidRPr="00F3130E">
        <w:rPr>
          <w:rFonts w:ascii="Times New Roman" w:hAnsi="Times New Roman" w:cs="Times New Roman"/>
          <w:color w:val="auto"/>
          <w:sz w:val="24"/>
          <w:szCs w:val="24"/>
          <w:lang w:val="en-GB"/>
        </w:rPr>
        <w:t xml:space="preserve"> mainly in the first decade </w:t>
      </w:r>
      <w:r w:rsidR="003730C9" w:rsidRPr="00F3130E">
        <w:rPr>
          <w:rFonts w:ascii="Times New Roman" w:hAnsi="Times New Roman" w:cs="Times New Roman"/>
          <w:color w:val="auto"/>
          <w:sz w:val="24"/>
          <w:szCs w:val="24"/>
          <w:lang w:val="en-GB"/>
        </w:rPr>
        <w:t xml:space="preserve">of the millennium. </w:t>
      </w:r>
      <w:r w:rsidR="00E91B7A" w:rsidRPr="00F3130E">
        <w:rPr>
          <w:rFonts w:ascii="Times New Roman" w:hAnsi="Times New Roman" w:cs="Times New Roman"/>
          <w:color w:val="auto"/>
          <w:sz w:val="24"/>
          <w:szCs w:val="24"/>
          <w:lang w:val="en-GB"/>
        </w:rPr>
        <w:t xml:space="preserve">Denmark exhibits the most stable </w:t>
      </w:r>
      <w:r w:rsidR="007B423D" w:rsidRPr="00F3130E">
        <w:rPr>
          <w:rFonts w:ascii="Times New Roman" w:hAnsi="Times New Roman" w:cs="Times New Roman"/>
          <w:color w:val="auto"/>
          <w:sz w:val="24"/>
          <w:szCs w:val="24"/>
          <w:lang w:val="en-GB"/>
        </w:rPr>
        <w:t>growth in wage costs, whereas it has been most volatile in Finland</w:t>
      </w:r>
      <w:r w:rsidR="004A3580" w:rsidRPr="00F3130E">
        <w:rPr>
          <w:rFonts w:ascii="Times New Roman" w:hAnsi="Times New Roman" w:cs="Times New Roman"/>
          <w:color w:val="auto"/>
          <w:sz w:val="24"/>
          <w:szCs w:val="24"/>
          <w:lang w:val="en-GB"/>
        </w:rPr>
        <w:t>. There</w:t>
      </w:r>
      <w:r w:rsidR="00343A25" w:rsidRPr="00F3130E">
        <w:rPr>
          <w:rFonts w:ascii="Times New Roman" w:hAnsi="Times New Roman" w:cs="Times New Roman"/>
          <w:color w:val="auto"/>
          <w:sz w:val="24"/>
          <w:szCs w:val="24"/>
          <w:lang w:val="en-GB"/>
        </w:rPr>
        <w:t xml:space="preserve">, </w:t>
      </w:r>
      <w:r w:rsidR="00342658" w:rsidRPr="00F3130E">
        <w:rPr>
          <w:rFonts w:ascii="Times New Roman" w:hAnsi="Times New Roman" w:cs="Times New Roman"/>
          <w:color w:val="auto"/>
          <w:sz w:val="24"/>
          <w:szCs w:val="24"/>
          <w:lang w:val="en-GB"/>
        </w:rPr>
        <w:t>high wage cost increases in 2007–09</w:t>
      </w:r>
      <w:r w:rsidR="00E26FBE" w:rsidRPr="00F3130E">
        <w:rPr>
          <w:rFonts w:ascii="Times New Roman" w:hAnsi="Times New Roman" w:cs="Times New Roman"/>
          <w:color w:val="auto"/>
          <w:sz w:val="24"/>
          <w:szCs w:val="24"/>
          <w:lang w:val="en-GB"/>
        </w:rPr>
        <w:t xml:space="preserve"> </w:t>
      </w:r>
      <w:r w:rsidR="008C7542" w:rsidRPr="00F3130E">
        <w:rPr>
          <w:rFonts w:ascii="Times New Roman" w:hAnsi="Times New Roman" w:cs="Times New Roman"/>
          <w:color w:val="auto"/>
          <w:sz w:val="24"/>
          <w:szCs w:val="24"/>
          <w:lang w:val="en-GB"/>
        </w:rPr>
        <w:t xml:space="preserve">were followed by </w:t>
      </w:r>
      <w:r w:rsidR="00D844B5" w:rsidRPr="00F3130E">
        <w:rPr>
          <w:rFonts w:ascii="Times New Roman" w:hAnsi="Times New Roman" w:cs="Times New Roman"/>
          <w:color w:val="auto"/>
          <w:sz w:val="24"/>
          <w:szCs w:val="24"/>
          <w:lang w:val="en-GB"/>
        </w:rPr>
        <w:t>a fall in wage costs in 2010</w:t>
      </w:r>
      <w:r w:rsidR="00D3793C">
        <w:rPr>
          <w:rFonts w:ascii="Times New Roman" w:hAnsi="Times New Roman" w:cs="Times New Roman"/>
          <w:color w:val="auto"/>
          <w:sz w:val="24"/>
          <w:szCs w:val="24"/>
          <w:lang w:val="en-GB"/>
        </w:rPr>
        <w:t>.</w:t>
      </w:r>
      <w:r w:rsidR="00D844B5" w:rsidRPr="00F3130E">
        <w:rPr>
          <w:rFonts w:ascii="Times New Roman" w:hAnsi="Times New Roman" w:cs="Times New Roman"/>
          <w:color w:val="auto"/>
          <w:sz w:val="24"/>
          <w:szCs w:val="24"/>
          <w:lang w:val="en-GB"/>
        </w:rPr>
        <w:t xml:space="preserve"> </w:t>
      </w:r>
      <w:r w:rsidR="00D3793C">
        <w:rPr>
          <w:rFonts w:ascii="Times New Roman" w:hAnsi="Times New Roman" w:cs="Times New Roman"/>
          <w:color w:val="auto"/>
          <w:sz w:val="24"/>
          <w:szCs w:val="24"/>
          <w:lang w:val="en-GB"/>
        </w:rPr>
        <w:t>The years</w:t>
      </w:r>
      <w:r w:rsidR="00824487" w:rsidRPr="00F3130E">
        <w:rPr>
          <w:rFonts w:ascii="Times New Roman" w:hAnsi="Times New Roman" w:cs="Times New Roman"/>
          <w:color w:val="auto"/>
          <w:sz w:val="24"/>
          <w:szCs w:val="24"/>
          <w:lang w:val="en-GB"/>
        </w:rPr>
        <w:t xml:space="preserve"> 2016–17</w:t>
      </w:r>
      <w:r w:rsidR="00B2356F" w:rsidRPr="00F3130E">
        <w:rPr>
          <w:rFonts w:ascii="Times New Roman" w:hAnsi="Times New Roman" w:cs="Times New Roman"/>
          <w:color w:val="auto"/>
          <w:sz w:val="24"/>
          <w:szCs w:val="24"/>
          <w:lang w:val="en-GB"/>
        </w:rPr>
        <w:t xml:space="preserve"> were</w:t>
      </w:r>
      <w:r w:rsidR="00EC13F6">
        <w:rPr>
          <w:rFonts w:ascii="Times New Roman" w:hAnsi="Times New Roman" w:cs="Times New Roman"/>
          <w:color w:val="auto"/>
          <w:sz w:val="24"/>
          <w:szCs w:val="24"/>
          <w:lang w:val="en-GB"/>
        </w:rPr>
        <w:t xml:space="preserve"> also</w:t>
      </w:r>
      <w:r w:rsidR="00B2356F" w:rsidRPr="00F3130E">
        <w:rPr>
          <w:rFonts w:ascii="Times New Roman" w:hAnsi="Times New Roman" w:cs="Times New Roman"/>
          <w:color w:val="auto"/>
          <w:sz w:val="24"/>
          <w:szCs w:val="24"/>
          <w:lang w:val="en-GB"/>
        </w:rPr>
        <w:t xml:space="preserve"> characterised by </w:t>
      </w:r>
      <w:r w:rsidR="00907C9B" w:rsidRPr="00F3130E">
        <w:rPr>
          <w:rFonts w:ascii="Times New Roman" w:hAnsi="Times New Roman" w:cs="Times New Roman"/>
          <w:color w:val="auto"/>
          <w:sz w:val="24"/>
          <w:szCs w:val="24"/>
          <w:lang w:val="en-GB"/>
        </w:rPr>
        <w:t xml:space="preserve">much </w:t>
      </w:r>
      <w:r w:rsidR="00EC13F6">
        <w:rPr>
          <w:rFonts w:ascii="Times New Roman" w:hAnsi="Times New Roman" w:cs="Times New Roman"/>
          <w:color w:val="auto"/>
          <w:sz w:val="24"/>
          <w:szCs w:val="24"/>
          <w:lang w:val="en-GB"/>
        </w:rPr>
        <w:t xml:space="preserve">wage </w:t>
      </w:r>
      <w:r w:rsidR="004D6D78" w:rsidRPr="00F3130E">
        <w:rPr>
          <w:rFonts w:ascii="Times New Roman" w:hAnsi="Times New Roman" w:cs="Times New Roman"/>
          <w:color w:val="auto"/>
          <w:sz w:val="24"/>
          <w:szCs w:val="24"/>
          <w:lang w:val="en-GB"/>
        </w:rPr>
        <w:t>restraint</w:t>
      </w:r>
      <w:r w:rsidR="008B0BAB" w:rsidRPr="00F3130E">
        <w:rPr>
          <w:rFonts w:ascii="Times New Roman" w:hAnsi="Times New Roman" w:cs="Times New Roman"/>
          <w:color w:val="auto"/>
          <w:sz w:val="24"/>
          <w:szCs w:val="24"/>
          <w:lang w:val="en-GB"/>
        </w:rPr>
        <w:t>.</w:t>
      </w:r>
      <w:r w:rsidR="00783407">
        <w:rPr>
          <w:rFonts w:ascii="Times New Roman" w:hAnsi="Times New Roman" w:cs="Times New Roman"/>
          <w:color w:val="auto"/>
          <w:sz w:val="24"/>
          <w:szCs w:val="24"/>
          <w:lang w:val="en-GB"/>
        </w:rPr>
        <w:t xml:space="preserve"> In all countries, wage cost increases were lower in the decade preceding the 2020 pandemic than in 2001</w:t>
      </w:r>
      <w:r w:rsidR="00943310">
        <w:rPr>
          <w:rFonts w:ascii="Times New Roman" w:hAnsi="Times New Roman" w:cs="Times New Roman"/>
          <w:color w:val="auto"/>
          <w:sz w:val="24"/>
          <w:szCs w:val="24"/>
          <w:lang w:val="en-GB"/>
        </w:rPr>
        <w:t>–</w:t>
      </w:r>
      <w:r w:rsidR="00783407">
        <w:rPr>
          <w:rFonts w:ascii="Times New Roman" w:hAnsi="Times New Roman" w:cs="Times New Roman"/>
          <w:color w:val="auto"/>
          <w:sz w:val="24"/>
          <w:szCs w:val="24"/>
          <w:lang w:val="en-GB"/>
        </w:rPr>
        <w:t>10</w:t>
      </w:r>
      <w:r w:rsidR="00943310">
        <w:rPr>
          <w:rFonts w:ascii="Times New Roman" w:hAnsi="Times New Roman" w:cs="Times New Roman"/>
          <w:color w:val="auto"/>
          <w:sz w:val="24"/>
          <w:szCs w:val="24"/>
          <w:lang w:val="en-GB"/>
        </w:rPr>
        <w:t>. Then, there was a modes</w:t>
      </w:r>
      <w:r w:rsidR="00DC5EDB">
        <w:rPr>
          <w:rFonts w:ascii="Times New Roman" w:hAnsi="Times New Roman" w:cs="Times New Roman"/>
          <w:color w:val="auto"/>
          <w:sz w:val="24"/>
          <w:szCs w:val="24"/>
          <w:lang w:val="en-GB"/>
        </w:rPr>
        <w:t>t</w:t>
      </w:r>
      <w:r w:rsidR="00943310">
        <w:rPr>
          <w:rFonts w:ascii="Times New Roman" w:hAnsi="Times New Roman" w:cs="Times New Roman"/>
          <w:color w:val="auto"/>
          <w:sz w:val="24"/>
          <w:szCs w:val="24"/>
          <w:lang w:val="en-GB"/>
        </w:rPr>
        <w:t xml:space="preserve"> rise in wage cost incr</w:t>
      </w:r>
      <w:r w:rsidR="005E7E38">
        <w:rPr>
          <w:rFonts w:ascii="Times New Roman" w:hAnsi="Times New Roman" w:cs="Times New Roman"/>
          <w:color w:val="auto"/>
          <w:sz w:val="24"/>
          <w:szCs w:val="24"/>
          <w:lang w:val="en-GB"/>
        </w:rPr>
        <w:t xml:space="preserve">eases in 2021–23. </w:t>
      </w:r>
    </w:p>
    <w:p w14:paraId="1D59AE3D" w14:textId="77777777" w:rsidR="00DC5EDB" w:rsidRDefault="00DC5EDB" w:rsidP="007427F1">
      <w:pPr>
        <w:spacing w:line="240" w:lineRule="auto"/>
        <w:jc w:val="both"/>
        <w:rPr>
          <w:rFonts w:ascii="Times New Roman" w:hAnsi="Times New Roman" w:cs="Times New Roman"/>
          <w:b/>
          <w:bCs/>
          <w:sz w:val="24"/>
          <w:szCs w:val="24"/>
          <w:lang w:val="en-GB"/>
        </w:rPr>
      </w:pPr>
    </w:p>
    <w:p w14:paraId="423A1F42" w14:textId="77777777" w:rsidR="00DC5EDB" w:rsidRDefault="00DC5EDB" w:rsidP="007427F1">
      <w:pPr>
        <w:spacing w:line="240" w:lineRule="auto"/>
        <w:jc w:val="both"/>
        <w:rPr>
          <w:rFonts w:ascii="Times New Roman" w:hAnsi="Times New Roman" w:cs="Times New Roman"/>
          <w:b/>
          <w:bCs/>
          <w:sz w:val="24"/>
          <w:szCs w:val="24"/>
          <w:lang w:val="en-GB"/>
        </w:rPr>
      </w:pPr>
    </w:p>
    <w:p w14:paraId="5CA5FC3A" w14:textId="77777777" w:rsidR="00DC5EDB" w:rsidRDefault="00DC5EDB" w:rsidP="007427F1">
      <w:pPr>
        <w:spacing w:line="240" w:lineRule="auto"/>
        <w:jc w:val="both"/>
        <w:rPr>
          <w:rFonts w:ascii="Times New Roman" w:hAnsi="Times New Roman" w:cs="Times New Roman"/>
          <w:b/>
          <w:bCs/>
          <w:sz w:val="24"/>
          <w:szCs w:val="24"/>
          <w:lang w:val="en-GB"/>
        </w:rPr>
      </w:pPr>
    </w:p>
    <w:p w14:paraId="7117633D" w14:textId="77777777" w:rsidR="00DC5EDB" w:rsidRDefault="00DC5EDB" w:rsidP="007427F1">
      <w:pPr>
        <w:spacing w:line="240" w:lineRule="auto"/>
        <w:jc w:val="both"/>
        <w:rPr>
          <w:rFonts w:ascii="Times New Roman" w:hAnsi="Times New Roman" w:cs="Times New Roman"/>
          <w:b/>
          <w:bCs/>
          <w:sz w:val="24"/>
          <w:szCs w:val="24"/>
          <w:lang w:val="en-GB"/>
        </w:rPr>
      </w:pPr>
    </w:p>
    <w:p w14:paraId="247F1829" w14:textId="77777777" w:rsidR="00DC5EDB" w:rsidRDefault="00DC5EDB" w:rsidP="007427F1">
      <w:pPr>
        <w:spacing w:line="240" w:lineRule="auto"/>
        <w:jc w:val="both"/>
        <w:rPr>
          <w:rFonts w:ascii="Times New Roman" w:hAnsi="Times New Roman" w:cs="Times New Roman"/>
          <w:b/>
          <w:bCs/>
          <w:sz w:val="24"/>
          <w:szCs w:val="24"/>
          <w:lang w:val="en-GB"/>
        </w:rPr>
      </w:pPr>
    </w:p>
    <w:p w14:paraId="27143E2B" w14:textId="77777777" w:rsidR="00DC5EDB" w:rsidRDefault="00DC5EDB" w:rsidP="007427F1">
      <w:pPr>
        <w:spacing w:line="240" w:lineRule="auto"/>
        <w:jc w:val="both"/>
        <w:rPr>
          <w:rFonts w:ascii="Times New Roman" w:hAnsi="Times New Roman" w:cs="Times New Roman"/>
          <w:b/>
          <w:bCs/>
          <w:sz w:val="24"/>
          <w:szCs w:val="24"/>
          <w:lang w:val="en-GB"/>
        </w:rPr>
      </w:pPr>
    </w:p>
    <w:p w14:paraId="50240744" w14:textId="4EA1CA57" w:rsidR="00223586" w:rsidRPr="00AF3CAA" w:rsidRDefault="00376C95" w:rsidP="007427F1">
      <w:pPr>
        <w:spacing w:line="240" w:lineRule="auto"/>
        <w:jc w:val="both"/>
        <w:rPr>
          <w:rFonts w:ascii="Times New Roman" w:hAnsi="Times New Roman" w:cs="Times New Roman"/>
          <w:b/>
          <w:bCs/>
          <w:lang w:val="en-GB"/>
        </w:rPr>
      </w:pPr>
      <w:r w:rsidRPr="00AF3CAA">
        <w:rPr>
          <w:rFonts w:ascii="Times New Roman" w:hAnsi="Times New Roman" w:cs="Times New Roman"/>
          <w:b/>
          <w:bCs/>
          <w:lang w:val="en-GB"/>
        </w:rPr>
        <w:lastRenderedPageBreak/>
        <w:t>Figure 1</w:t>
      </w:r>
      <w:r w:rsidR="00FF222B" w:rsidRPr="00AF3CAA">
        <w:rPr>
          <w:rFonts w:ascii="Times New Roman" w:hAnsi="Times New Roman" w:cs="Times New Roman"/>
          <w:b/>
          <w:bCs/>
          <w:lang w:val="en-GB"/>
        </w:rPr>
        <w:t>a</w:t>
      </w:r>
      <w:r w:rsidR="002D182E" w:rsidRPr="00AF3CAA">
        <w:rPr>
          <w:rFonts w:ascii="Times New Roman" w:hAnsi="Times New Roman" w:cs="Times New Roman"/>
          <w:b/>
          <w:bCs/>
          <w:lang w:val="en-GB"/>
        </w:rPr>
        <w:t>.</w:t>
      </w:r>
      <w:r w:rsidRPr="00AF3CAA">
        <w:rPr>
          <w:rFonts w:ascii="Times New Roman" w:hAnsi="Times New Roman" w:cs="Times New Roman"/>
          <w:b/>
          <w:bCs/>
          <w:lang w:val="en-GB"/>
        </w:rPr>
        <w:t xml:space="preserve"> Annual</w:t>
      </w:r>
      <w:r w:rsidR="0058142E" w:rsidRPr="00AF3CAA">
        <w:rPr>
          <w:rFonts w:ascii="Times New Roman" w:hAnsi="Times New Roman" w:cs="Times New Roman"/>
          <w:b/>
          <w:bCs/>
          <w:lang w:val="en-GB"/>
        </w:rPr>
        <w:t xml:space="preserve"> nominal</w:t>
      </w:r>
      <w:r w:rsidRPr="00AF3CAA">
        <w:rPr>
          <w:rFonts w:ascii="Times New Roman" w:hAnsi="Times New Roman" w:cs="Times New Roman"/>
          <w:b/>
          <w:bCs/>
          <w:lang w:val="en-GB"/>
        </w:rPr>
        <w:t xml:space="preserve"> </w:t>
      </w:r>
      <w:r w:rsidR="005C6004" w:rsidRPr="00AF3CAA">
        <w:rPr>
          <w:rFonts w:ascii="Times New Roman" w:hAnsi="Times New Roman" w:cs="Times New Roman"/>
          <w:b/>
          <w:bCs/>
          <w:lang w:val="en-GB"/>
        </w:rPr>
        <w:t xml:space="preserve">hourly </w:t>
      </w:r>
      <w:r w:rsidR="002D182E" w:rsidRPr="00AF3CAA">
        <w:rPr>
          <w:rFonts w:ascii="Times New Roman" w:hAnsi="Times New Roman" w:cs="Times New Roman"/>
          <w:b/>
          <w:bCs/>
          <w:lang w:val="en-GB"/>
        </w:rPr>
        <w:t xml:space="preserve">wage cost change in manufacturing in the Nordic countries and </w:t>
      </w:r>
      <w:r w:rsidR="0058142E" w:rsidRPr="00AF3CAA">
        <w:rPr>
          <w:rFonts w:ascii="Times New Roman" w:hAnsi="Times New Roman" w:cs="Times New Roman"/>
          <w:b/>
          <w:bCs/>
          <w:lang w:val="en-GB"/>
        </w:rPr>
        <w:t>the euro area</w:t>
      </w:r>
      <w:r w:rsidR="00C16B25" w:rsidRPr="00AF3CAA">
        <w:rPr>
          <w:rFonts w:ascii="Times New Roman" w:hAnsi="Times New Roman" w:cs="Times New Roman"/>
          <w:b/>
          <w:bCs/>
          <w:lang w:val="en-GB"/>
        </w:rPr>
        <w:t>, per</w:t>
      </w:r>
      <w:r w:rsidR="00DC5EDB" w:rsidRPr="00AF3CAA">
        <w:rPr>
          <w:rFonts w:ascii="Times New Roman" w:hAnsi="Times New Roman" w:cs="Times New Roman"/>
          <w:b/>
          <w:bCs/>
          <w:lang w:val="en-GB"/>
        </w:rPr>
        <w:t xml:space="preserve"> </w:t>
      </w:r>
      <w:r w:rsidR="00C16B25" w:rsidRPr="00AF3CAA">
        <w:rPr>
          <w:rFonts w:ascii="Times New Roman" w:hAnsi="Times New Roman" w:cs="Times New Roman"/>
          <w:b/>
          <w:bCs/>
          <w:lang w:val="en-GB"/>
        </w:rPr>
        <w:t>cent</w:t>
      </w:r>
    </w:p>
    <w:p w14:paraId="5B260C28" w14:textId="77777777" w:rsidR="00327590" w:rsidRDefault="00327590" w:rsidP="00327590">
      <w:r>
        <w:rPr>
          <w:noProof/>
        </w:rPr>
        <w:drawing>
          <wp:inline distT="0" distB="0" distL="0" distR="0" wp14:anchorId="5DAD4527" wp14:editId="0B19890F">
            <wp:extent cx="4874281" cy="2979420"/>
            <wp:effectExtent l="0" t="0" r="2540" b="11430"/>
            <wp:docPr id="2057162832" name="Diagram 1">
              <a:extLst xmlns:a="http://schemas.openxmlformats.org/drawingml/2006/main">
                <a:ext uri="{FF2B5EF4-FFF2-40B4-BE49-F238E27FC236}">
                  <a16:creationId xmlns:a16="http://schemas.microsoft.com/office/drawing/2014/main" id="{72705497-48C9-9AE9-AE54-05D80DEAFE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16BC36" w14:textId="335D918C" w:rsidR="00D03C0E" w:rsidRDefault="00F21ADB" w:rsidP="00D03C0E">
      <w:pPr>
        <w:rPr>
          <w:rFonts w:ascii="Times New Roman" w:hAnsi="Times New Roman" w:cs="Times New Roman"/>
          <w:sz w:val="20"/>
          <w:szCs w:val="20"/>
          <w:lang w:val="en-GB"/>
        </w:rPr>
      </w:pPr>
      <w:r>
        <w:rPr>
          <w:rFonts w:ascii="Times New Roman" w:hAnsi="Times New Roman" w:cs="Times New Roman"/>
          <w:sz w:val="20"/>
          <w:szCs w:val="20"/>
          <w:lang w:val="en-GB"/>
        </w:rPr>
        <w:t xml:space="preserve">Sources: </w:t>
      </w:r>
      <w:r w:rsidR="00B5201D">
        <w:rPr>
          <w:rFonts w:ascii="Times New Roman" w:hAnsi="Times New Roman" w:cs="Times New Roman"/>
          <w:sz w:val="20"/>
          <w:szCs w:val="20"/>
          <w:lang w:val="en-GB"/>
        </w:rPr>
        <w:t>Eurostat (all countries except Norway), Statistics Norway (Norway).</w:t>
      </w:r>
    </w:p>
    <w:p w14:paraId="055C79C8" w14:textId="77777777" w:rsidR="00AB1152" w:rsidRDefault="00AB1152" w:rsidP="00D03C0E">
      <w:pPr>
        <w:rPr>
          <w:rFonts w:ascii="Times New Roman" w:hAnsi="Times New Roman" w:cs="Times New Roman"/>
          <w:sz w:val="20"/>
          <w:szCs w:val="20"/>
          <w:lang w:val="en-GB"/>
        </w:rPr>
      </w:pPr>
    </w:p>
    <w:p w14:paraId="47B89AC3" w14:textId="2384D0F5" w:rsidR="00AB1152" w:rsidRDefault="00AB1152" w:rsidP="00AB1152">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Figure 1b shows real wage changes</w:t>
      </w:r>
      <w:r w:rsidR="00BC624C">
        <w:rPr>
          <w:rFonts w:ascii="Times New Roman" w:hAnsi="Times New Roman" w:cs="Times New Roman"/>
          <w:sz w:val="24"/>
          <w:szCs w:val="24"/>
          <w:lang w:val="en-GB"/>
        </w:rPr>
        <w:t xml:space="preserve"> in manufacturing</w:t>
      </w:r>
      <w:r>
        <w:rPr>
          <w:rFonts w:ascii="Times New Roman" w:hAnsi="Times New Roman" w:cs="Times New Roman"/>
          <w:sz w:val="24"/>
          <w:szCs w:val="24"/>
          <w:lang w:val="en-GB"/>
        </w:rPr>
        <w:t xml:space="preserve">. Since nominal wage increases </w:t>
      </w:r>
      <w:r w:rsidR="00B4614C">
        <w:rPr>
          <w:rFonts w:ascii="Times New Roman" w:hAnsi="Times New Roman" w:cs="Times New Roman"/>
          <w:sz w:val="24"/>
          <w:szCs w:val="24"/>
          <w:lang w:val="en-GB"/>
        </w:rPr>
        <w:t>stayed</w:t>
      </w:r>
      <w:r>
        <w:rPr>
          <w:rFonts w:ascii="Times New Roman" w:hAnsi="Times New Roman" w:cs="Times New Roman"/>
          <w:sz w:val="24"/>
          <w:szCs w:val="24"/>
          <w:lang w:val="en-GB"/>
        </w:rPr>
        <w:t xml:space="preserve"> far below </w:t>
      </w:r>
      <w:r w:rsidR="00B4614C">
        <w:rPr>
          <w:rFonts w:ascii="Times New Roman" w:hAnsi="Times New Roman" w:cs="Times New Roman"/>
          <w:sz w:val="24"/>
          <w:szCs w:val="24"/>
          <w:lang w:val="en-GB"/>
        </w:rPr>
        <w:t xml:space="preserve">the high </w:t>
      </w:r>
      <w:r>
        <w:rPr>
          <w:rFonts w:ascii="Times New Roman" w:hAnsi="Times New Roman" w:cs="Times New Roman"/>
          <w:sz w:val="24"/>
          <w:szCs w:val="24"/>
          <w:lang w:val="en-GB"/>
        </w:rPr>
        <w:t xml:space="preserve">inflation in 2022–23, </w:t>
      </w:r>
      <w:r w:rsidR="00B4614C">
        <w:rPr>
          <w:rFonts w:ascii="Times New Roman" w:hAnsi="Times New Roman" w:cs="Times New Roman"/>
          <w:sz w:val="24"/>
          <w:szCs w:val="24"/>
          <w:lang w:val="en-GB"/>
        </w:rPr>
        <w:t>all</w:t>
      </w:r>
      <w:r>
        <w:rPr>
          <w:rFonts w:ascii="Times New Roman" w:hAnsi="Times New Roman" w:cs="Times New Roman"/>
          <w:sz w:val="24"/>
          <w:szCs w:val="24"/>
          <w:lang w:val="en-GB"/>
        </w:rPr>
        <w:t xml:space="preserve"> the Nordic countries</w:t>
      </w:r>
      <w:r w:rsidR="00B4614C">
        <w:rPr>
          <w:rFonts w:ascii="Times New Roman" w:hAnsi="Times New Roman" w:cs="Times New Roman"/>
          <w:sz w:val="24"/>
          <w:szCs w:val="24"/>
          <w:lang w:val="en-GB"/>
        </w:rPr>
        <w:t xml:space="preserve"> </w:t>
      </w:r>
      <w:r w:rsidR="0065420F">
        <w:rPr>
          <w:rFonts w:ascii="Times New Roman" w:hAnsi="Times New Roman" w:cs="Times New Roman"/>
          <w:sz w:val="24"/>
          <w:szCs w:val="24"/>
          <w:lang w:val="en-GB"/>
        </w:rPr>
        <w:t xml:space="preserve">then </w:t>
      </w:r>
      <w:r w:rsidR="00B4614C">
        <w:rPr>
          <w:rFonts w:ascii="Times New Roman" w:hAnsi="Times New Roman" w:cs="Times New Roman"/>
          <w:sz w:val="24"/>
          <w:szCs w:val="24"/>
          <w:lang w:val="en-GB"/>
        </w:rPr>
        <w:t>exhib</w:t>
      </w:r>
      <w:r w:rsidR="0065420F">
        <w:rPr>
          <w:rFonts w:ascii="Times New Roman" w:hAnsi="Times New Roman" w:cs="Times New Roman"/>
          <w:sz w:val="24"/>
          <w:szCs w:val="24"/>
          <w:lang w:val="en-GB"/>
        </w:rPr>
        <w:t>ited large real wage falls</w:t>
      </w:r>
      <w:r>
        <w:rPr>
          <w:rFonts w:ascii="Times New Roman" w:hAnsi="Times New Roman" w:cs="Times New Roman"/>
          <w:sz w:val="24"/>
          <w:szCs w:val="24"/>
          <w:lang w:val="en-GB"/>
        </w:rPr>
        <w:t xml:space="preserve">. </w:t>
      </w:r>
      <w:r w:rsidR="0065420F">
        <w:rPr>
          <w:rFonts w:ascii="Times New Roman" w:hAnsi="Times New Roman" w:cs="Times New Roman"/>
          <w:sz w:val="24"/>
          <w:szCs w:val="24"/>
          <w:lang w:val="en-GB"/>
        </w:rPr>
        <w:t>They were</w:t>
      </w:r>
      <w:r>
        <w:rPr>
          <w:rFonts w:ascii="Times New Roman" w:hAnsi="Times New Roman" w:cs="Times New Roman"/>
          <w:sz w:val="24"/>
          <w:szCs w:val="24"/>
          <w:lang w:val="en-GB"/>
        </w:rPr>
        <w:t xml:space="preserve"> the largest in Denmark and Sweden.  </w:t>
      </w:r>
    </w:p>
    <w:p w14:paraId="336ED4E9" w14:textId="77777777" w:rsidR="00DC5EDB" w:rsidRDefault="00DC5EDB" w:rsidP="00D03C0E">
      <w:pPr>
        <w:rPr>
          <w:rFonts w:ascii="Times New Roman" w:hAnsi="Times New Roman" w:cs="Times New Roman"/>
          <w:b/>
          <w:bCs/>
          <w:sz w:val="24"/>
          <w:szCs w:val="24"/>
          <w:lang w:val="en-GB"/>
        </w:rPr>
      </w:pPr>
    </w:p>
    <w:p w14:paraId="71C6DDFA" w14:textId="77777777" w:rsidR="00DC5EDB" w:rsidRDefault="00DC5EDB" w:rsidP="00D03C0E">
      <w:pPr>
        <w:rPr>
          <w:rFonts w:ascii="Times New Roman" w:hAnsi="Times New Roman" w:cs="Times New Roman"/>
          <w:b/>
          <w:bCs/>
          <w:sz w:val="24"/>
          <w:szCs w:val="24"/>
          <w:lang w:val="en-GB"/>
        </w:rPr>
      </w:pPr>
    </w:p>
    <w:p w14:paraId="016B0E2D" w14:textId="77777777" w:rsidR="00DC5EDB" w:rsidRDefault="00DC5EDB" w:rsidP="00D03C0E">
      <w:pPr>
        <w:rPr>
          <w:rFonts w:ascii="Times New Roman" w:hAnsi="Times New Roman" w:cs="Times New Roman"/>
          <w:b/>
          <w:bCs/>
          <w:sz w:val="24"/>
          <w:szCs w:val="24"/>
          <w:lang w:val="en-GB"/>
        </w:rPr>
      </w:pPr>
    </w:p>
    <w:p w14:paraId="6A61129A" w14:textId="77777777" w:rsidR="00DC5EDB" w:rsidRDefault="00DC5EDB" w:rsidP="00D03C0E">
      <w:pPr>
        <w:rPr>
          <w:rFonts w:ascii="Times New Roman" w:hAnsi="Times New Roman" w:cs="Times New Roman"/>
          <w:b/>
          <w:bCs/>
          <w:sz w:val="24"/>
          <w:szCs w:val="24"/>
          <w:lang w:val="en-GB"/>
        </w:rPr>
      </w:pPr>
    </w:p>
    <w:p w14:paraId="6E7D7B67" w14:textId="77777777" w:rsidR="00DC5EDB" w:rsidRDefault="00DC5EDB" w:rsidP="00D03C0E">
      <w:pPr>
        <w:rPr>
          <w:rFonts w:ascii="Times New Roman" w:hAnsi="Times New Roman" w:cs="Times New Roman"/>
          <w:b/>
          <w:bCs/>
          <w:sz w:val="24"/>
          <w:szCs w:val="24"/>
          <w:lang w:val="en-GB"/>
        </w:rPr>
      </w:pPr>
    </w:p>
    <w:p w14:paraId="563EEBD2" w14:textId="77777777" w:rsidR="00DC5EDB" w:rsidRDefault="00DC5EDB" w:rsidP="00D03C0E">
      <w:pPr>
        <w:rPr>
          <w:rFonts w:ascii="Times New Roman" w:hAnsi="Times New Roman" w:cs="Times New Roman"/>
          <w:b/>
          <w:bCs/>
          <w:sz w:val="24"/>
          <w:szCs w:val="24"/>
          <w:lang w:val="en-GB"/>
        </w:rPr>
      </w:pPr>
    </w:p>
    <w:p w14:paraId="10061C1A" w14:textId="77777777" w:rsidR="00DC5EDB" w:rsidRDefault="00DC5EDB" w:rsidP="00D03C0E">
      <w:pPr>
        <w:rPr>
          <w:rFonts w:ascii="Times New Roman" w:hAnsi="Times New Roman" w:cs="Times New Roman"/>
          <w:b/>
          <w:bCs/>
          <w:sz w:val="24"/>
          <w:szCs w:val="24"/>
          <w:lang w:val="en-GB"/>
        </w:rPr>
      </w:pPr>
    </w:p>
    <w:p w14:paraId="61B8497C" w14:textId="77777777" w:rsidR="00DC5EDB" w:rsidRDefault="00DC5EDB" w:rsidP="00D03C0E">
      <w:pPr>
        <w:rPr>
          <w:rFonts w:ascii="Times New Roman" w:hAnsi="Times New Roman" w:cs="Times New Roman"/>
          <w:b/>
          <w:bCs/>
          <w:sz w:val="24"/>
          <w:szCs w:val="24"/>
          <w:lang w:val="en-GB"/>
        </w:rPr>
      </w:pPr>
    </w:p>
    <w:p w14:paraId="5EBABAAE" w14:textId="77777777" w:rsidR="00DC5EDB" w:rsidRDefault="00DC5EDB" w:rsidP="00D03C0E">
      <w:pPr>
        <w:rPr>
          <w:rFonts w:ascii="Times New Roman" w:hAnsi="Times New Roman" w:cs="Times New Roman"/>
          <w:b/>
          <w:bCs/>
          <w:sz w:val="24"/>
          <w:szCs w:val="24"/>
          <w:lang w:val="en-GB"/>
        </w:rPr>
      </w:pPr>
    </w:p>
    <w:p w14:paraId="41042AC2" w14:textId="77777777" w:rsidR="00DC5EDB" w:rsidRDefault="00DC5EDB" w:rsidP="00D03C0E">
      <w:pPr>
        <w:rPr>
          <w:rFonts w:ascii="Times New Roman" w:hAnsi="Times New Roman" w:cs="Times New Roman"/>
          <w:b/>
          <w:bCs/>
          <w:sz w:val="24"/>
          <w:szCs w:val="24"/>
          <w:lang w:val="en-GB"/>
        </w:rPr>
      </w:pPr>
    </w:p>
    <w:p w14:paraId="2660B996" w14:textId="77777777" w:rsidR="00DC5EDB" w:rsidRDefault="00DC5EDB" w:rsidP="00D03C0E">
      <w:pPr>
        <w:rPr>
          <w:rFonts w:ascii="Times New Roman" w:hAnsi="Times New Roman" w:cs="Times New Roman"/>
          <w:b/>
          <w:bCs/>
          <w:sz w:val="24"/>
          <w:szCs w:val="24"/>
          <w:lang w:val="en-GB"/>
        </w:rPr>
      </w:pPr>
    </w:p>
    <w:p w14:paraId="414A5479" w14:textId="77777777" w:rsidR="00DC5EDB" w:rsidRDefault="00DC5EDB" w:rsidP="00D03C0E">
      <w:pPr>
        <w:rPr>
          <w:rFonts w:ascii="Times New Roman" w:hAnsi="Times New Roman" w:cs="Times New Roman"/>
          <w:b/>
          <w:bCs/>
          <w:sz w:val="24"/>
          <w:szCs w:val="24"/>
          <w:lang w:val="en-GB"/>
        </w:rPr>
      </w:pPr>
    </w:p>
    <w:p w14:paraId="5D900C78" w14:textId="77777777" w:rsidR="00DC5EDB" w:rsidRDefault="00DC5EDB" w:rsidP="00D03C0E">
      <w:pPr>
        <w:rPr>
          <w:rFonts w:ascii="Times New Roman" w:hAnsi="Times New Roman" w:cs="Times New Roman"/>
          <w:b/>
          <w:bCs/>
          <w:sz w:val="24"/>
          <w:szCs w:val="24"/>
          <w:lang w:val="en-GB"/>
        </w:rPr>
      </w:pPr>
    </w:p>
    <w:p w14:paraId="4D7FEF11" w14:textId="030435B6" w:rsidR="00AC0C00" w:rsidRPr="00AF3CAA" w:rsidRDefault="00AC0C00" w:rsidP="00D03C0E">
      <w:pPr>
        <w:rPr>
          <w:rFonts w:ascii="Times New Roman" w:hAnsi="Times New Roman" w:cs="Times New Roman"/>
          <w:b/>
          <w:bCs/>
          <w:lang w:val="en-GB"/>
        </w:rPr>
      </w:pPr>
      <w:r w:rsidRPr="00AF3CAA">
        <w:rPr>
          <w:rFonts w:ascii="Times New Roman" w:hAnsi="Times New Roman" w:cs="Times New Roman"/>
          <w:b/>
          <w:bCs/>
          <w:lang w:val="en-GB"/>
        </w:rPr>
        <w:lastRenderedPageBreak/>
        <w:t xml:space="preserve">Figure </w:t>
      </w:r>
      <w:r w:rsidR="007308AD" w:rsidRPr="00AF3CAA">
        <w:rPr>
          <w:rFonts w:ascii="Times New Roman" w:hAnsi="Times New Roman" w:cs="Times New Roman"/>
          <w:b/>
          <w:bCs/>
          <w:lang w:val="en-GB"/>
        </w:rPr>
        <w:t xml:space="preserve">1b. </w:t>
      </w:r>
      <w:r w:rsidR="00091D61" w:rsidRPr="00AF3CAA">
        <w:rPr>
          <w:rFonts w:ascii="Times New Roman" w:hAnsi="Times New Roman" w:cs="Times New Roman"/>
          <w:b/>
          <w:bCs/>
          <w:lang w:val="en-GB"/>
        </w:rPr>
        <w:t xml:space="preserve">Annual </w:t>
      </w:r>
      <w:r w:rsidR="006321B6" w:rsidRPr="00AF3CAA">
        <w:rPr>
          <w:rFonts w:ascii="Times New Roman" w:hAnsi="Times New Roman" w:cs="Times New Roman"/>
          <w:b/>
          <w:bCs/>
          <w:lang w:val="en-GB"/>
        </w:rPr>
        <w:t xml:space="preserve">hourly </w:t>
      </w:r>
      <w:r w:rsidR="00091D61" w:rsidRPr="00AF3CAA">
        <w:rPr>
          <w:rFonts w:ascii="Times New Roman" w:hAnsi="Times New Roman" w:cs="Times New Roman"/>
          <w:b/>
          <w:bCs/>
          <w:lang w:val="en-GB"/>
        </w:rPr>
        <w:t>r</w:t>
      </w:r>
      <w:r w:rsidR="007308AD" w:rsidRPr="00AF3CAA">
        <w:rPr>
          <w:rFonts w:ascii="Times New Roman" w:hAnsi="Times New Roman" w:cs="Times New Roman"/>
          <w:b/>
          <w:bCs/>
          <w:lang w:val="en-GB"/>
        </w:rPr>
        <w:t>eal wage change in manufacturing in the Nordic countries and the euro area, per</w:t>
      </w:r>
      <w:r w:rsidR="00AF3CAA">
        <w:rPr>
          <w:rFonts w:ascii="Times New Roman" w:hAnsi="Times New Roman" w:cs="Times New Roman"/>
          <w:b/>
          <w:bCs/>
          <w:lang w:val="en-GB"/>
        </w:rPr>
        <w:t xml:space="preserve"> </w:t>
      </w:r>
      <w:r w:rsidR="007308AD" w:rsidRPr="00AF3CAA">
        <w:rPr>
          <w:rFonts w:ascii="Times New Roman" w:hAnsi="Times New Roman" w:cs="Times New Roman"/>
          <w:b/>
          <w:bCs/>
          <w:lang w:val="en-GB"/>
        </w:rPr>
        <w:t>cent</w:t>
      </w:r>
    </w:p>
    <w:p w14:paraId="3160FCEA" w14:textId="77777777" w:rsidR="00AC0C00" w:rsidRDefault="00AC0C00" w:rsidP="00AC0C00">
      <w:r>
        <w:rPr>
          <w:noProof/>
        </w:rPr>
        <w:drawing>
          <wp:inline distT="0" distB="0" distL="0" distR="0" wp14:anchorId="58CD1D78" wp14:editId="4F654D05">
            <wp:extent cx="5032978" cy="3352800"/>
            <wp:effectExtent l="0" t="0" r="15875" b="0"/>
            <wp:docPr id="376390188" name="Diagram 1">
              <a:extLst xmlns:a="http://schemas.openxmlformats.org/drawingml/2006/main">
                <a:ext uri="{FF2B5EF4-FFF2-40B4-BE49-F238E27FC236}">
                  <a16:creationId xmlns:a16="http://schemas.microsoft.com/office/drawing/2014/main" id="{1F70FA5E-B5B4-D61F-E093-D0A166C5D5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B76E52" w14:textId="441E7810" w:rsidR="007D7AD1" w:rsidRPr="007D7AD1" w:rsidRDefault="007D7AD1" w:rsidP="00AC0C00">
      <w:pPr>
        <w:rPr>
          <w:lang w:val="en-GB"/>
        </w:rPr>
      </w:pPr>
      <w:r>
        <w:rPr>
          <w:rFonts w:ascii="Times New Roman" w:hAnsi="Times New Roman" w:cs="Times New Roman"/>
          <w:sz w:val="20"/>
          <w:szCs w:val="20"/>
          <w:lang w:val="en-GB"/>
        </w:rPr>
        <w:t xml:space="preserve">Sources: Eurostat </w:t>
      </w:r>
      <w:r w:rsidR="00FE00AC">
        <w:rPr>
          <w:rFonts w:ascii="Times New Roman" w:hAnsi="Times New Roman" w:cs="Times New Roman"/>
          <w:sz w:val="20"/>
          <w:szCs w:val="20"/>
          <w:lang w:val="en-GB"/>
        </w:rPr>
        <w:t>and national statistical offices.</w:t>
      </w:r>
    </w:p>
    <w:p w14:paraId="54AD2383" w14:textId="42386175" w:rsidR="00F2216D" w:rsidRDefault="00BE4D8A" w:rsidP="00F2216D">
      <w:pPr>
        <w:pStyle w:val="Heading2"/>
        <w:rPr>
          <w:lang w:val="en-GB"/>
        </w:rPr>
      </w:pPr>
      <w:r>
        <w:rPr>
          <w:lang w:val="en-GB"/>
        </w:rPr>
        <w:t>4.2 Wage shares</w:t>
      </w:r>
    </w:p>
    <w:p w14:paraId="1F4C059F" w14:textId="129CEAF1" w:rsidR="00494A9F" w:rsidRDefault="00E27774" w:rsidP="00BE7E7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Figures </w:t>
      </w:r>
      <w:r w:rsidR="00FE58AA">
        <w:rPr>
          <w:rFonts w:ascii="Times New Roman" w:hAnsi="Times New Roman" w:cs="Times New Roman"/>
          <w:sz w:val="24"/>
          <w:szCs w:val="24"/>
          <w:lang w:val="en-GB"/>
        </w:rPr>
        <w:t>2</w:t>
      </w:r>
      <w:r>
        <w:rPr>
          <w:rFonts w:ascii="Times New Roman" w:hAnsi="Times New Roman" w:cs="Times New Roman"/>
          <w:sz w:val="24"/>
          <w:szCs w:val="24"/>
          <w:lang w:val="en-GB"/>
        </w:rPr>
        <w:t xml:space="preserve">a and </w:t>
      </w:r>
      <w:r w:rsidR="00FE58AA">
        <w:rPr>
          <w:rFonts w:ascii="Times New Roman" w:hAnsi="Times New Roman" w:cs="Times New Roman"/>
          <w:sz w:val="24"/>
          <w:szCs w:val="24"/>
          <w:lang w:val="en-GB"/>
        </w:rPr>
        <w:t>2b</w:t>
      </w:r>
      <w:r w:rsidR="00B66B60">
        <w:rPr>
          <w:rFonts w:ascii="Times New Roman" w:hAnsi="Times New Roman" w:cs="Times New Roman"/>
          <w:sz w:val="24"/>
          <w:szCs w:val="24"/>
          <w:lang w:val="en-GB"/>
        </w:rPr>
        <w:t xml:space="preserve"> </w:t>
      </w:r>
      <w:r w:rsidR="00EE3E95">
        <w:rPr>
          <w:rFonts w:ascii="Times New Roman" w:hAnsi="Times New Roman" w:cs="Times New Roman"/>
          <w:sz w:val="24"/>
          <w:szCs w:val="24"/>
          <w:lang w:val="en-GB"/>
        </w:rPr>
        <w:t>show that</w:t>
      </w:r>
      <w:r w:rsidR="00BC624C">
        <w:rPr>
          <w:rFonts w:ascii="Times New Roman" w:hAnsi="Times New Roman" w:cs="Times New Roman"/>
          <w:sz w:val="24"/>
          <w:szCs w:val="24"/>
          <w:lang w:val="en-GB"/>
        </w:rPr>
        <w:t xml:space="preserve"> </w:t>
      </w:r>
      <w:r w:rsidR="00B10EE9">
        <w:rPr>
          <w:rFonts w:ascii="Times New Roman" w:hAnsi="Times New Roman" w:cs="Times New Roman"/>
          <w:sz w:val="24"/>
          <w:szCs w:val="24"/>
          <w:lang w:val="en-GB"/>
        </w:rPr>
        <w:t xml:space="preserve">in </w:t>
      </w:r>
      <w:r w:rsidR="00224E3C">
        <w:rPr>
          <w:rFonts w:ascii="Times New Roman" w:hAnsi="Times New Roman" w:cs="Times New Roman"/>
          <w:sz w:val="24"/>
          <w:szCs w:val="24"/>
          <w:lang w:val="en-GB"/>
        </w:rPr>
        <w:t>Finland, N</w:t>
      </w:r>
      <w:r w:rsidR="00F41F77">
        <w:rPr>
          <w:rFonts w:ascii="Times New Roman" w:hAnsi="Times New Roman" w:cs="Times New Roman"/>
          <w:sz w:val="24"/>
          <w:szCs w:val="24"/>
          <w:lang w:val="en-GB"/>
        </w:rPr>
        <w:t>orway and Sweden</w:t>
      </w:r>
      <w:r w:rsidR="002612F3">
        <w:rPr>
          <w:rFonts w:ascii="Times New Roman" w:hAnsi="Times New Roman" w:cs="Times New Roman"/>
          <w:sz w:val="24"/>
          <w:szCs w:val="24"/>
          <w:lang w:val="en-GB"/>
        </w:rPr>
        <w:t xml:space="preserve"> over the 25-year period </w:t>
      </w:r>
      <w:r w:rsidR="009A3FBA">
        <w:rPr>
          <w:rFonts w:ascii="Times New Roman" w:hAnsi="Times New Roman" w:cs="Times New Roman"/>
          <w:sz w:val="24"/>
          <w:szCs w:val="24"/>
          <w:lang w:val="en-GB"/>
        </w:rPr>
        <w:t>covered,</w:t>
      </w:r>
      <w:r w:rsidR="009E1783">
        <w:rPr>
          <w:rFonts w:ascii="Times New Roman" w:hAnsi="Times New Roman" w:cs="Times New Roman"/>
          <w:sz w:val="24"/>
          <w:szCs w:val="24"/>
          <w:lang w:val="en-GB"/>
        </w:rPr>
        <w:t xml:space="preserve"> no major long-term changes occurred. This is in line with the Sca</w:t>
      </w:r>
      <w:r w:rsidR="00895315">
        <w:rPr>
          <w:rFonts w:ascii="Times New Roman" w:hAnsi="Times New Roman" w:cs="Times New Roman"/>
          <w:sz w:val="24"/>
          <w:szCs w:val="24"/>
          <w:lang w:val="en-GB"/>
        </w:rPr>
        <w:t>ndinavian model.</w:t>
      </w:r>
      <w:r w:rsidR="009837AB">
        <w:rPr>
          <w:rFonts w:ascii="Times New Roman" w:hAnsi="Times New Roman" w:cs="Times New Roman"/>
          <w:sz w:val="24"/>
          <w:szCs w:val="24"/>
          <w:lang w:val="en-GB"/>
        </w:rPr>
        <w:t xml:space="preserve"> </w:t>
      </w:r>
      <w:r w:rsidR="004F4242">
        <w:rPr>
          <w:rFonts w:ascii="Times New Roman" w:hAnsi="Times New Roman" w:cs="Times New Roman"/>
          <w:sz w:val="24"/>
          <w:szCs w:val="24"/>
          <w:lang w:val="en-GB"/>
        </w:rPr>
        <w:t xml:space="preserve">However, </w:t>
      </w:r>
      <w:r w:rsidR="00013258">
        <w:rPr>
          <w:rFonts w:ascii="Times New Roman" w:hAnsi="Times New Roman" w:cs="Times New Roman"/>
          <w:sz w:val="24"/>
          <w:szCs w:val="24"/>
          <w:lang w:val="en-GB"/>
        </w:rPr>
        <w:t xml:space="preserve">in Finland, there was </w:t>
      </w:r>
      <w:r w:rsidR="00DB32C6">
        <w:rPr>
          <w:rFonts w:ascii="Times New Roman" w:hAnsi="Times New Roman" w:cs="Times New Roman"/>
          <w:sz w:val="24"/>
          <w:szCs w:val="24"/>
          <w:lang w:val="en-GB"/>
        </w:rPr>
        <w:t>a substantial increase in the share in 2008–12 fol</w:t>
      </w:r>
      <w:r w:rsidR="00A0202A">
        <w:rPr>
          <w:rFonts w:ascii="Times New Roman" w:hAnsi="Times New Roman" w:cs="Times New Roman"/>
          <w:sz w:val="24"/>
          <w:szCs w:val="24"/>
          <w:lang w:val="en-GB"/>
        </w:rPr>
        <w:t>lowed by a strong decline</w:t>
      </w:r>
      <w:r w:rsidR="002C3727">
        <w:rPr>
          <w:rFonts w:ascii="Times New Roman" w:hAnsi="Times New Roman" w:cs="Times New Roman"/>
          <w:sz w:val="24"/>
          <w:szCs w:val="24"/>
          <w:lang w:val="en-GB"/>
        </w:rPr>
        <w:t>.</w:t>
      </w:r>
      <w:r w:rsidR="00DB32C6">
        <w:rPr>
          <w:rFonts w:ascii="Times New Roman" w:hAnsi="Times New Roman" w:cs="Times New Roman"/>
          <w:sz w:val="24"/>
          <w:szCs w:val="24"/>
          <w:lang w:val="en-GB"/>
        </w:rPr>
        <w:t xml:space="preserve"> </w:t>
      </w:r>
      <w:r w:rsidR="00545A9F">
        <w:rPr>
          <w:rFonts w:ascii="Times New Roman" w:hAnsi="Times New Roman" w:cs="Times New Roman"/>
          <w:sz w:val="24"/>
          <w:szCs w:val="24"/>
          <w:lang w:val="en-GB"/>
        </w:rPr>
        <w:t>Denmark</w:t>
      </w:r>
      <w:r w:rsidR="000B37E3">
        <w:rPr>
          <w:rFonts w:ascii="Times New Roman" w:hAnsi="Times New Roman" w:cs="Times New Roman"/>
          <w:sz w:val="24"/>
          <w:szCs w:val="24"/>
          <w:lang w:val="en-GB"/>
        </w:rPr>
        <w:t xml:space="preserve"> </w:t>
      </w:r>
      <w:r w:rsidR="00545A9F">
        <w:rPr>
          <w:rFonts w:ascii="Times New Roman" w:hAnsi="Times New Roman" w:cs="Times New Roman"/>
          <w:sz w:val="24"/>
          <w:szCs w:val="24"/>
          <w:lang w:val="en-GB"/>
        </w:rPr>
        <w:t>deviates</w:t>
      </w:r>
      <w:r w:rsidR="002C3727">
        <w:rPr>
          <w:rFonts w:ascii="Times New Roman" w:hAnsi="Times New Roman" w:cs="Times New Roman"/>
          <w:sz w:val="24"/>
          <w:szCs w:val="24"/>
          <w:lang w:val="en-GB"/>
        </w:rPr>
        <w:t xml:space="preserve"> from the picture of a stable long-term </w:t>
      </w:r>
      <w:r w:rsidR="00C81769">
        <w:rPr>
          <w:rFonts w:ascii="Times New Roman" w:hAnsi="Times New Roman" w:cs="Times New Roman"/>
          <w:sz w:val="24"/>
          <w:szCs w:val="24"/>
          <w:lang w:val="en-GB"/>
        </w:rPr>
        <w:t>wage share</w:t>
      </w:r>
      <w:r w:rsidR="002C3727">
        <w:rPr>
          <w:rFonts w:ascii="Times New Roman" w:hAnsi="Times New Roman" w:cs="Times New Roman"/>
          <w:sz w:val="24"/>
          <w:szCs w:val="24"/>
          <w:lang w:val="en-GB"/>
        </w:rPr>
        <w:t xml:space="preserve"> </w:t>
      </w:r>
      <w:r w:rsidR="00010079">
        <w:rPr>
          <w:rFonts w:ascii="Times New Roman" w:hAnsi="Times New Roman" w:cs="Times New Roman"/>
          <w:sz w:val="24"/>
          <w:szCs w:val="24"/>
          <w:lang w:val="en-GB"/>
        </w:rPr>
        <w:t>with a steady decline from 2010.</w:t>
      </w:r>
      <w:r w:rsidR="008771A1">
        <w:rPr>
          <w:rFonts w:ascii="Times New Roman" w:hAnsi="Times New Roman" w:cs="Times New Roman"/>
          <w:sz w:val="24"/>
          <w:szCs w:val="24"/>
          <w:lang w:val="en-GB"/>
        </w:rPr>
        <w:t xml:space="preserve"> The diagrams also show a more or less stable wage share in the euro area. This implies that there has not been any major change in the relative wage share to the euro area for Finland, Norway and Sweden. </w:t>
      </w:r>
      <w:r w:rsidR="00494A9F">
        <w:rPr>
          <w:rFonts w:ascii="Times New Roman" w:hAnsi="Times New Roman" w:cs="Times New Roman"/>
          <w:sz w:val="24"/>
          <w:szCs w:val="24"/>
          <w:lang w:val="en-GB"/>
        </w:rPr>
        <w:t xml:space="preserve">In 2021–22 the wage share </w:t>
      </w:r>
      <w:r w:rsidR="001B22D1">
        <w:rPr>
          <w:rFonts w:ascii="Times New Roman" w:hAnsi="Times New Roman" w:cs="Times New Roman"/>
          <w:sz w:val="24"/>
          <w:szCs w:val="24"/>
          <w:lang w:val="en-GB"/>
        </w:rPr>
        <w:t xml:space="preserve">fell in all the Nordic countries just as </w:t>
      </w:r>
      <w:r w:rsidR="002B1A40">
        <w:rPr>
          <w:rFonts w:ascii="Times New Roman" w:hAnsi="Times New Roman" w:cs="Times New Roman"/>
          <w:sz w:val="24"/>
          <w:szCs w:val="24"/>
          <w:lang w:val="en-GB"/>
        </w:rPr>
        <w:t xml:space="preserve">in the euro area. </w:t>
      </w:r>
      <w:r w:rsidR="007636E7">
        <w:rPr>
          <w:rFonts w:ascii="Times New Roman" w:hAnsi="Times New Roman" w:cs="Times New Roman"/>
          <w:sz w:val="24"/>
          <w:szCs w:val="24"/>
          <w:lang w:val="en-GB"/>
        </w:rPr>
        <w:t>The</w:t>
      </w:r>
      <w:r w:rsidR="002B1A40">
        <w:rPr>
          <w:rFonts w:ascii="Times New Roman" w:hAnsi="Times New Roman" w:cs="Times New Roman"/>
          <w:sz w:val="24"/>
          <w:szCs w:val="24"/>
          <w:lang w:val="en-GB"/>
        </w:rPr>
        <w:t xml:space="preserve"> declines were particularly large in Norway and Sweden.</w:t>
      </w:r>
      <w:r w:rsidR="00494A9F">
        <w:rPr>
          <w:rFonts w:ascii="Times New Roman" w:hAnsi="Times New Roman" w:cs="Times New Roman"/>
          <w:sz w:val="24"/>
          <w:szCs w:val="24"/>
          <w:lang w:val="en-GB"/>
        </w:rPr>
        <w:t xml:space="preserve"> </w:t>
      </w:r>
    </w:p>
    <w:p w14:paraId="218B94FC" w14:textId="77777777" w:rsidR="00DC5EDB" w:rsidRDefault="00DC5EDB" w:rsidP="00BC719B">
      <w:pPr>
        <w:spacing w:line="360" w:lineRule="auto"/>
        <w:jc w:val="both"/>
        <w:rPr>
          <w:rFonts w:ascii="Times New Roman" w:hAnsi="Times New Roman" w:cs="Times New Roman"/>
          <w:sz w:val="24"/>
          <w:szCs w:val="24"/>
          <w:lang w:val="en-GB"/>
        </w:rPr>
      </w:pPr>
    </w:p>
    <w:p w14:paraId="491BE486" w14:textId="77777777" w:rsidR="00DC5EDB" w:rsidRDefault="00DC5EDB" w:rsidP="00BC719B">
      <w:pPr>
        <w:spacing w:line="360" w:lineRule="auto"/>
        <w:jc w:val="both"/>
        <w:rPr>
          <w:rFonts w:ascii="Times New Roman" w:hAnsi="Times New Roman" w:cs="Times New Roman"/>
          <w:sz w:val="24"/>
          <w:szCs w:val="24"/>
          <w:lang w:val="en-GB"/>
        </w:rPr>
      </w:pPr>
    </w:p>
    <w:p w14:paraId="73F5CD5E" w14:textId="77777777" w:rsidR="00DC5EDB" w:rsidRDefault="00DC5EDB" w:rsidP="00BC719B">
      <w:pPr>
        <w:spacing w:line="360" w:lineRule="auto"/>
        <w:jc w:val="both"/>
        <w:rPr>
          <w:rFonts w:ascii="Times New Roman" w:hAnsi="Times New Roman" w:cs="Times New Roman"/>
          <w:sz w:val="24"/>
          <w:szCs w:val="24"/>
          <w:lang w:val="en-GB"/>
        </w:rPr>
      </w:pPr>
    </w:p>
    <w:p w14:paraId="6F13B24E" w14:textId="77777777" w:rsidR="00DC5EDB" w:rsidRDefault="00DC5EDB" w:rsidP="00BC719B">
      <w:pPr>
        <w:spacing w:line="360" w:lineRule="auto"/>
        <w:jc w:val="both"/>
        <w:rPr>
          <w:rFonts w:ascii="Times New Roman" w:hAnsi="Times New Roman" w:cs="Times New Roman"/>
          <w:sz w:val="24"/>
          <w:szCs w:val="24"/>
          <w:lang w:val="en-GB"/>
        </w:rPr>
      </w:pPr>
    </w:p>
    <w:p w14:paraId="2C734DF2" w14:textId="77777777" w:rsidR="00DC5EDB" w:rsidRDefault="00DC5EDB" w:rsidP="00BC719B">
      <w:pPr>
        <w:spacing w:line="360" w:lineRule="auto"/>
        <w:jc w:val="both"/>
        <w:rPr>
          <w:rFonts w:ascii="Times New Roman" w:hAnsi="Times New Roman" w:cs="Times New Roman"/>
          <w:sz w:val="24"/>
          <w:szCs w:val="24"/>
          <w:lang w:val="en-GB"/>
        </w:rPr>
      </w:pPr>
    </w:p>
    <w:p w14:paraId="7E8B1ED0" w14:textId="77777777" w:rsidR="00AF3CAA" w:rsidRDefault="00AF3CAA" w:rsidP="00AF3CAA">
      <w:pPr>
        <w:spacing w:line="240" w:lineRule="auto"/>
        <w:jc w:val="both"/>
        <w:rPr>
          <w:rFonts w:ascii="Times New Roman" w:hAnsi="Times New Roman" w:cs="Times New Roman"/>
          <w:b/>
          <w:bCs/>
          <w:sz w:val="24"/>
          <w:szCs w:val="24"/>
          <w:lang w:val="en-GB"/>
        </w:rPr>
      </w:pPr>
    </w:p>
    <w:p w14:paraId="301D8A57" w14:textId="1F864ED6" w:rsidR="003C4205" w:rsidRPr="00BC719B" w:rsidRDefault="007B0CC2" w:rsidP="00AF3CAA">
      <w:pPr>
        <w:spacing w:line="24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lastRenderedPageBreak/>
        <w:t xml:space="preserve">Figure </w:t>
      </w:r>
      <w:r w:rsidR="00FE58AA">
        <w:rPr>
          <w:rFonts w:ascii="Times New Roman" w:hAnsi="Times New Roman" w:cs="Times New Roman"/>
          <w:b/>
          <w:bCs/>
          <w:sz w:val="24"/>
          <w:szCs w:val="24"/>
          <w:lang w:val="en-GB"/>
        </w:rPr>
        <w:t>2</w:t>
      </w:r>
      <w:r>
        <w:rPr>
          <w:rFonts w:ascii="Times New Roman" w:hAnsi="Times New Roman" w:cs="Times New Roman"/>
          <w:b/>
          <w:bCs/>
          <w:sz w:val="24"/>
          <w:szCs w:val="24"/>
          <w:lang w:val="en-GB"/>
        </w:rPr>
        <w:t xml:space="preserve">a. </w:t>
      </w:r>
      <w:r w:rsidR="000E5EE9">
        <w:rPr>
          <w:rFonts w:ascii="Times New Roman" w:hAnsi="Times New Roman" w:cs="Times New Roman"/>
          <w:b/>
          <w:bCs/>
          <w:sz w:val="24"/>
          <w:szCs w:val="24"/>
          <w:lang w:val="en-GB"/>
        </w:rPr>
        <w:t>Wage share in manufacturing</w:t>
      </w:r>
      <w:r w:rsidR="0034319F">
        <w:rPr>
          <w:rFonts w:ascii="Times New Roman" w:hAnsi="Times New Roman" w:cs="Times New Roman"/>
          <w:b/>
          <w:bCs/>
          <w:sz w:val="24"/>
          <w:szCs w:val="24"/>
          <w:lang w:val="en-GB"/>
        </w:rPr>
        <w:t xml:space="preserve"> in the Nordic countries and the euro area, per</w:t>
      </w:r>
      <w:r w:rsidR="00AF3CAA">
        <w:rPr>
          <w:rFonts w:ascii="Times New Roman" w:hAnsi="Times New Roman" w:cs="Times New Roman"/>
          <w:b/>
          <w:bCs/>
          <w:sz w:val="24"/>
          <w:szCs w:val="24"/>
          <w:lang w:val="en-GB"/>
        </w:rPr>
        <w:t xml:space="preserve"> </w:t>
      </w:r>
      <w:r w:rsidR="0034319F">
        <w:rPr>
          <w:rFonts w:ascii="Times New Roman" w:hAnsi="Times New Roman" w:cs="Times New Roman"/>
          <w:b/>
          <w:bCs/>
          <w:sz w:val="24"/>
          <w:szCs w:val="24"/>
          <w:lang w:val="en-GB"/>
        </w:rPr>
        <w:t>cent</w:t>
      </w:r>
      <w:r w:rsidR="000E5EE9">
        <w:rPr>
          <w:rFonts w:ascii="Times New Roman" w:hAnsi="Times New Roman" w:cs="Times New Roman"/>
          <w:b/>
          <w:bCs/>
          <w:sz w:val="24"/>
          <w:szCs w:val="24"/>
          <w:lang w:val="en-GB"/>
        </w:rPr>
        <w:t xml:space="preserve">  </w:t>
      </w:r>
    </w:p>
    <w:p w14:paraId="5661E28F" w14:textId="043D7C51" w:rsidR="003C4205" w:rsidRDefault="003C4205" w:rsidP="00D03C0E">
      <w:pPr>
        <w:rPr>
          <w:rFonts w:ascii="Times New Roman" w:hAnsi="Times New Roman" w:cs="Times New Roman"/>
          <w:sz w:val="24"/>
          <w:szCs w:val="24"/>
          <w:lang w:val="en-GB"/>
        </w:rPr>
      </w:pPr>
      <w:r>
        <w:rPr>
          <w:noProof/>
        </w:rPr>
        <w:drawing>
          <wp:inline distT="0" distB="0" distL="0" distR="0" wp14:anchorId="45D6E646" wp14:editId="604CE3C5">
            <wp:extent cx="4572000" cy="2743201"/>
            <wp:effectExtent l="0" t="0" r="0" b="0"/>
            <wp:docPr id="494590369" name="Diagram 1">
              <a:extLst xmlns:a="http://schemas.openxmlformats.org/drawingml/2006/main">
                <a:ext uri="{FF2B5EF4-FFF2-40B4-BE49-F238E27FC236}">
                  <a16:creationId xmlns:a16="http://schemas.microsoft.com/office/drawing/2014/main" id="{A2FA5A92-ACDA-4CA7-A4E8-F78B363F47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0F5F53" w14:textId="12612A4C" w:rsidR="00F46B6F" w:rsidRPr="00F46B6F" w:rsidRDefault="00F110BB" w:rsidP="00D03C0E">
      <w:pPr>
        <w:rPr>
          <w:rFonts w:ascii="Times New Roman" w:hAnsi="Times New Roman" w:cs="Times New Roman"/>
          <w:sz w:val="20"/>
          <w:szCs w:val="20"/>
          <w:lang w:val="en-GB"/>
        </w:rPr>
      </w:pPr>
      <w:r w:rsidRPr="00F46B6F">
        <w:rPr>
          <w:rFonts w:ascii="Times New Roman" w:hAnsi="Times New Roman" w:cs="Times New Roman"/>
          <w:sz w:val="20"/>
          <w:szCs w:val="20"/>
          <w:lang w:val="en-GB"/>
        </w:rPr>
        <w:t>Note:</w:t>
      </w:r>
      <w:r w:rsidR="00303E5A" w:rsidRPr="00F46B6F">
        <w:rPr>
          <w:rFonts w:ascii="Times New Roman" w:hAnsi="Times New Roman" w:cs="Times New Roman"/>
          <w:sz w:val="20"/>
          <w:szCs w:val="20"/>
          <w:lang w:val="en-GB"/>
        </w:rPr>
        <w:t xml:space="preserve"> </w:t>
      </w:r>
      <w:r w:rsidR="00F46B6F">
        <w:rPr>
          <w:rFonts w:ascii="Times New Roman" w:hAnsi="Times New Roman" w:cs="Times New Roman"/>
          <w:sz w:val="20"/>
          <w:szCs w:val="20"/>
          <w:lang w:val="en-GB"/>
        </w:rPr>
        <w:t xml:space="preserve">The </w:t>
      </w:r>
      <w:r w:rsidR="007078DD">
        <w:rPr>
          <w:rFonts w:ascii="Times New Roman" w:hAnsi="Times New Roman" w:cs="Times New Roman"/>
          <w:sz w:val="20"/>
          <w:szCs w:val="20"/>
          <w:lang w:val="en-GB"/>
        </w:rPr>
        <w:t xml:space="preserve">wage share is the </w:t>
      </w:r>
      <w:r w:rsidR="00AE4FEE" w:rsidRPr="00F46B6F">
        <w:rPr>
          <w:rFonts w:ascii="Times New Roman" w:hAnsi="Times New Roman" w:cs="Times New Roman"/>
          <w:sz w:val="20"/>
          <w:szCs w:val="20"/>
          <w:lang w:val="en-GB"/>
        </w:rPr>
        <w:t>compensation of employees (wages and salaries, and employers’ social contributions) divided by value added.</w:t>
      </w:r>
    </w:p>
    <w:p w14:paraId="6A020DAC" w14:textId="4FC37293" w:rsidR="00F110BB" w:rsidRDefault="00AE4FEE" w:rsidP="00D03C0E">
      <w:pPr>
        <w:rPr>
          <w:rFonts w:ascii="Times New Roman" w:hAnsi="Times New Roman" w:cs="Times New Roman"/>
          <w:sz w:val="20"/>
          <w:szCs w:val="20"/>
          <w:lang w:val="en-GB"/>
        </w:rPr>
      </w:pPr>
      <w:r w:rsidRPr="00F46B6F">
        <w:rPr>
          <w:rFonts w:ascii="Times New Roman" w:hAnsi="Times New Roman" w:cs="Times New Roman"/>
          <w:sz w:val="20"/>
          <w:szCs w:val="20"/>
          <w:lang w:val="en-GB"/>
        </w:rPr>
        <w:t xml:space="preserve"> Source: OCED.</w:t>
      </w:r>
    </w:p>
    <w:p w14:paraId="326B3349" w14:textId="7871931F" w:rsidR="00725704" w:rsidRPr="00AF3CAA" w:rsidRDefault="007B187C" w:rsidP="00D03C0E">
      <w:pPr>
        <w:rPr>
          <w:rFonts w:ascii="Times New Roman" w:hAnsi="Times New Roman" w:cs="Times New Roman"/>
          <w:b/>
          <w:bCs/>
          <w:lang w:val="en-GB"/>
        </w:rPr>
      </w:pPr>
      <w:r w:rsidRPr="00AF3CAA">
        <w:rPr>
          <w:rFonts w:ascii="Times New Roman" w:hAnsi="Times New Roman" w:cs="Times New Roman"/>
          <w:b/>
          <w:bCs/>
          <w:lang w:val="en-GB"/>
        </w:rPr>
        <w:t xml:space="preserve">Figure </w:t>
      </w:r>
      <w:r w:rsidR="00FE58AA" w:rsidRPr="00AF3CAA">
        <w:rPr>
          <w:rFonts w:ascii="Times New Roman" w:hAnsi="Times New Roman" w:cs="Times New Roman"/>
          <w:b/>
          <w:bCs/>
          <w:lang w:val="en-GB"/>
        </w:rPr>
        <w:t>2</w:t>
      </w:r>
      <w:r w:rsidRPr="00AF3CAA">
        <w:rPr>
          <w:rFonts w:ascii="Times New Roman" w:hAnsi="Times New Roman" w:cs="Times New Roman"/>
          <w:b/>
          <w:bCs/>
          <w:lang w:val="en-GB"/>
        </w:rPr>
        <w:t xml:space="preserve">b. </w:t>
      </w:r>
      <w:r w:rsidR="0020112E" w:rsidRPr="00AF3CAA">
        <w:rPr>
          <w:rFonts w:ascii="Times New Roman" w:hAnsi="Times New Roman" w:cs="Times New Roman"/>
          <w:b/>
          <w:bCs/>
          <w:lang w:val="en-GB"/>
        </w:rPr>
        <w:t>Wage</w:t>
      </w:r>
      <w:r w:rsidR="00E34CB4" w:rsidRPr="00AF3CAA">
        <w:rPr>
          <w:rFonts w:ascii="Times New Roman" w:hAnsi="Times New Roman" w:cs="Times New Roman"/>
          <w:b/>
          <w:bCs/>
          <w:lang w:val="en-GB"/>
        </w:rPr>
        <w:t xml:space="preserve"> share in manufacturing in the Nordic countries</w:t>
      </w:r>
      <w:r w:rsidR="00725704" w:rsidRPr="00AF3CAA">
        <w:rPr>
          <w:rFonts w:ascii="Times New Roman" w:hAnsi="Times New Roman" w:cs="Times New Roman"/>
          <w:b/>
          <w:bCs/>
          <w:lang w:val="en-GB"/>
        </w:rPr>
        <w:t xml:space="preserve"> and the euro area, index</w:t>
      </w:r>
    </w:p>
    <w:p w14:paraId="1263B5D7" w14:textId="4C7C73A2" w:rsidR="00001292" w:rsidRDefault="0013590B" w:rsidP="00D03C0E">
      <w:pPr>
        <w:rPr>
          <w:rFonts w:ascii="Times New Roman" w:hAnsi="Times New Roman" w:cs="Times New Roman"/>
          <w:b/>
          <w:bCs/>
          <w:sz w:val="24"/>
          <w:szCs w:val="24"/>
          <w:lang w:val="en-GB"/>
        </w:rPr>
      </w:pPr>
      <w:r>
        <w:rPr>
          <w:noProof/>
        </w:rPr>
        <w:drawing>
          <wp:anchor distT="0" distB="0" distL="114300" distR="114300" simplePos="0" relativeHeight="251658240" behindDoc="0" locked="0" layoutInCell="1" allowOverlap="1" wp14:anchorId="50D6DD2D" wp14:editId="7C93C86A">
            <wp:simplePos x="899730" y="899730"/>
            <wp:positionH relativeFrom="column">
              <wp:align>left</wp:align>
            </wp:positionH>
            <wp:positionV relativeFrom="paragraph">
              <wp:align>top</wp:align>
            </wp:positionV>
            <wp:extent cx="4572000" cy="2698496"/>
            <wp:effectExtent l="0" t="0" r="0" b="6985"/>
            <wp:wrapSquare wrapText="bothSides"/>
            <wp:docPr id="1123015402" name="Diagram 1">
              <a:extLst xmlns:a="http://schemas.openxmlformats.org/drawingml/2006/main">
                <a:ext uri="{FF2B5EF4-FFF2-40B4-BE49-F238E27FC236}">
                  <a16:creationId xmlns:a16="http://schemas.microsoft.com/office/drawing/2014/main" id="{7E09103C-F740-49D4-89AC-F4845620C9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D814F6">
        <w:rPr>
          <w:rFonts w:ascii="Times New Roman" w:hAnsi="Times New Roman" w:cs="Times New Roman"/>
          <w:b/>
          <w:bCs/>
          <w:sz w:val="24"/>
          <w:szCs w:val="24"/>
          <w:lang w:val="en-GB"/>
        </w:rPr>
        <w:br w:type="textWrapping" w:clear="all"/>
      </w:r>
    </w:p>
    <w:p w14:paraId="7AB00764" w14:textId="5DC83754" w:rsidR="003D638A" w:rsidRDefault="00001292" w:rsidP="00D03C0E">
      <w:pPr>
        <w:rPr>
          <w:rFonts w:ascii="Times New Roman" w:hAnsi="Times New Roman" w:cs="Times New Roman"/>
          <w:sz w:val="20"/>
          <w:szCs w:val="20"/>
          <w:lang w:val="en-GB"/>
        </w:rPr>
      </w:pPr>
      <w:r>
        <w:rPr>
          <w:rFonts w:ascii="Times New Roman" w:hAnsi="Times New Roman" w:cs="Times New Roman"/>
          <w:sz w:val="20"/>
          <w:szCs w:val="20"/>
          <w:lang w:val="en-GB"/>
        </w:rPr>
        <w:t xml:space="preserve">Note: </w:t>
      </w:r>
      <w:r w:rsidR="00AD6A54">
        <w:rPr>
          <w:rFonts w:ascii="Times New Roman" w:hAnsi="Times New Roman" w:cs="Times New Roman"/>
          <w:sz w:val="20"/>
          <w:szCs w:val="20"/>
          <w:lang w:val="en-GB"/>
        </w:rPr>
        <w:t xml:space="preserve">The </w:t>
      </w:r>
      <w:r w:rsidR="00F75B33">
        <w:rPr>
          <w:rFonts w:ascii="Times New Roman" w:hAnsi="Times New Roman" w:cs="Times New Roman"/>
          <w:sz w:val="20"/>
          <w:szCs w:val="20"/>
          <w:lang w:val="en-GB"/>
        </w:rPr>
        <w:t xml:space="preserve">index is set to 1 in </w:t>
      </w:r>
      <w:r w:rsidR="00C92E3A">
        <w:rPr>
          <w:rFonts w:ascii="Times New Roman" w:hAnsi="Times New Roman" w:cs="Times New Roman"/>
          <w:sz w:val="20"/>
          <w:szCs w:val="20"/>
          <w:lang w:val="en-GB"/>
        </w:rPr>
        <w:t>2000. The diagram shows the log of the index</w:t>
      </w:r>
      <w:r w:rsidR="00D36F50">
        <w:rPr>
          <w:rFonts w:ascii="Times New Roman" w:hAnsi="Times New Roman" w:cs="Times New Roman"/>
          <w:sz w:val="20"/>
          <w:szCs w:val="20"/>
          <w:lang w:val="en-GB"/>
        </w:rPr>
        <w:t>.</w:t>
      </w:r>
      <w:r w:rsidR="006B2068">
        <w:rPr>
          <w:rFonts w:ascii="Times New Roman" w:hAnsi="Times New Roman" w:cs="Times New Roman"/>
          <w:sz w:val="20"/>
          <w:szCs w:val="20"/>
          <w:lang w:val="en-GB"/>
        </w:rPr>
        <w:t xml:space="preserve"> </w:t>
      </w:r>
      <w:r w:rsidR="00D36F50">
        <w:rPr>
          <w:rFonts w:ascii="Times New Roman" w:hAnsi="Times New Roman" w:cs="Times New Roman"/>
          <w:sz w:val="20"/>
          <w:szCs w:val="20"/>
          <w:lang w:val="en-GB"/>
        </w:rPr>
        <w:t>Hence,</w:t>
      </w:r>
      <w:r w:rsidR="002B1BB1">
        <w:rPr>
          <w:rFonts w:ascii="Times New Roman" w:hAnsi="Times New Roman" w:cs="Times New Roman"/>
          <w:sz w:val="20"/>
          <w:szCs w:val="20"/>
          <w:lang w:val="en-GB"/>
        </w:rPr>
        <w:t xml:space="preserve"> </w:t>
      </w:r>
      <w:r w:rsidR="00327590">
        <w:rPr>
          <w:rFonts w:ascii="Times New Roman" w:hAnsi="Times New Roman" w:cs="Times New Roman"/>
          <w:sz w:val="20"/>
          <w:szCs w:val="20"/>
          <w:lang w:val="en-GB"/>
        </w:rPr>
        <w:t xml:space="preserve">the value is 0 in 2000 and </w:t>
      </w:r>
      <w:r w:rsidR="006B2068">
        <w:rPr>
          <w:rFonts w:ascii="Times New Roman" w:hAnsi="Times New Roman" w:cs="Times New Roman"/>
          <w:sz w:val="20"/>
          <w:szCs w:val="20"/>
          <w:lang w:val="en-GB"/>
        </w:rPr>
        <w:t xml:space="preserve">the slopes of the curves </w:t>
      </w:r>
      <w:r w:rsidR="003D638A">
        <w:rPr>
          <w:rFonts w:ascii="Times New Roman" w:hAnsi="Times New Roman" w:cs="Times New Roman"/>
          <w:sz w:val="20"/>
          <w:szCs w:val="20"/>
          <w:lang w:val="en-GB"/>
        </w:rPr>
        <w:t xml:space="preserve">approximate relative changes. See also Figure </w:t>
      </w:r>
      <w:r w:rsidR="00FE58AA">
        <w:rPr>
          <w:rFonts w:ascii="Times New Roman" w:hAnsi="Times New Roman" w:cs="Times New Roman"/>
          <w:sz w:val="20"/>
          <w:szCs w:val="20"/>
          <w:lang w:val="en-GB"/>
        </w:rPr>
        <w:t>2</w:t>
      </w:r>
      <w:r w:rsidR="003D638A">
        <w:rPr>
          <w:rFonts w:ascii="Times New Roman" w:hAnsi="Times New Roman" w:cs="Times New Roman"/>
          <w:sz w:val="20"/>
          <w:szCs w:val="20"/>
          <w:lang w:val="en-GB"/>
        </w:rPr>
        <w:t>a.</w:t>
      </w:r>
    </w:p>
    <w:p w14:paraId="3DA57236" w14:textId="77777777" w:rsidR="00072B1C" w:rsidRDefault="003D638A" w:rsidP="00D03C0E">
      <w:pPr>
        <w:rPr>
          <w:rFonts w:ascii="Times New Roman" w:hAnsi="Times New Roman" w:cs="Times New Roman"/>
          <w:sz w:val="20"/>
          <w:szCs w:val="20"/>
          <w:lang w:val="en-GB"/>
        </w:rPr>
      </w:pPr>
      <w:r>
        <w:rPr>
          <w:rFonts w:ascii="Times New Roman" w:hAnsi="Times New Roman" w:cs="Times New Roman"/>
          <w:sz w:val="20"/>
          <w:szCs w:val="20"/>
          <w:lang w:val="en-GB"/>
        </w:rPr>
        <w:t xml:space="preserve">Source: </w:t>
      </w:r>
      <w:r w:rsidR="00DE2F90">
        <w:rPr>
          <w:rFonts w:ascii="Times New Roman" w:hAnsi="Times New Roman" w:cs="Times New Roman"/>
          <w:sz w:val="20"/>
          <w:szCs w:val="20"/>
          <w:lang w:val="en-GB"/>
        </w:rPr>
        <w:t>Own calculations based on OECD data</w:t>
      </w:r>
      <w:r w:rsidR="00232457">
        <w:rPr>
          <w:rFonts w:ascii="Times New Roman" w:hAnsi="Times New Roman" w:cs="Times New Roman"/>
          <w:sz w:val="20"/>
          <w:szCs w:val="20"/>
          <w:lang w:val="en-GB"/>
        </w:rPr>
        <w:t>.</w:t>
      </w:r>
      <w:r w:rsidR="00F75B33">
        <w:rPr>
          <w:rFonts w:ascii="Times New Roman" w:hAnsi="Times New Roman" w:cs="Times New Roman"/>
          <w:sz w:val="20"/>
          <w:szCs w:val="20"/>
          <w:lang w:val="en-GB"/>
        </w:rPr>
        <w:t xml:space="preserve"> </w:t>
      </w:r>
    </w:p>
    <w:p w14:paraId="39F6C384" w14:textId="03A371C9" w:rsidR="00D04D4F" w:rsidRDefault="00D04D4F" w:rsidP="00D04D4F">
      <w:pPr>
        <w:pStyle w:val="Heading2"/>
        <w:rPr>
          <w:lang w:val="en-GB"/>
        </w:rPr>
      </w:pPr>
      <w:r>
        <w:rPr>
          <w:lang w:val="en-GB"/>
        </w:rPr>
        <w:t>4.3 Wage cost levels</w:t>
      </w:r>
    </w:p>
    <w:p w14:paraId="1C24F920" w14:textId="7B2814C6" w:rsidR="004F5EEA" w:rsidRPr="00D814F6" w:rsidRDefault="00D814F6" w:rsidP="00EE7E5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Figures 3a and 3b show the cumulative development </w:t>
      </w:r>
      <w:r w:rsidR="00254190">
        <w:rPr>
          <w:rFonts w:ascii="Times New Roman" w:hAnsi="Times New Roman" w:cs="Times New Roman"/>
          <w:sz w:val="24"/>
          <w:szCs w:val="24"/>
          <w:lang w:val="en-GB"/>
        </w:rPr>
        <w:t>in</w:t>
      </w:r>
      <w:r>
        <w:rPr>
          <w:rFonts w:ascii="Times New Roman" w:hAnsi="Times New Roman" w:cs="Times New Roman"/>
          <w:sz w:val="24"/>
          <w:szCs w:val="24"/>
          <w:lang w:val="en-GB"/>
        </w:rPr>
        <w:t xml:space="preserve"> 2000–23 </w:t>
      </w:r>
      <w:r w:rsidR="00087670">
        <w:rPr>
          <w:rFonts w:ascii="Times New Roman" w:hAnsi="Times New Roman" w:cs="Times New Roman"/>
          <w:sz w:val="24"/>
          <w:szCs w:val="24"/>
          <w:lang w:val="en-GB"/>
        </w:rPr>
        <w:t xml:space="preserve">of nominal wage costs in national currency and </w:t>
      </w:r>
      <w:r w:rsidR="006D0CD8">
        <w:rPr>
          <w:rFonts w:ascii="Times New Roman" w:hAnsi="Times New Roman" w:cs="Times New Roman"/>
          <w:sz w:val="24"/>
          <w:szCs w:val="24"/>
          <w:lang w:val="en-GB"/>
        </w:rPr>
        <w:t xml:space="preserve">in </w:t>
      </w:r>
      <w:r w:rsidR="00E17041">
        <w:rPr>
          <w:rFonts w:ascii="Times New Roman" w:hAnsi="Times New Roman" w:cs="Times New Roman"/>
          <w:sz w:val="24"/>
          <w:szCs w:val="24"/>
          <w:lang w:val="en-GB"/>
        </w:rPr>
        <w:t>euros</w:t>
      </w:r>
      <w:r w:rsidR="00AE3191">
        <w:rPr>
          <w:rFonts w:ascii="Times New Roman" w:hAnsi="Times New Roman" w:cs="Times New Roman"/>
          <w:sz w:val="24"/>
          <w:szCs w:val="24"/>
          <w:lang w:val="en-GB"/>
        </w:rPr>
        <w:t xml:space="preserve">, respectively. </w:t>
      </w:r>
      <w:r w:rsidR="00254190">
        <w:rPr>
          <w:rFonts w:ascii="Times New Roman" w:hAnsi="Times New Roman" w:cs="Times New Roman"/>
          <w:sz w:val="24"/>
          <w:szCs w:val="24"/>
          <w:lang w:val="en-GB"/>
        </w:rPr>
        <w:t>Although</w:t>
      </w:r>
      <w:r w:rsidR="00C11918">
        <w:rPr>
          <w:rFonts w:ascii="Times New Roman" w:hAnsi="Times New Roman" w:cs="Times New Roman"/>
          <w:sz w:val="24"/>
          <w:szCs w:val="24"/>
          <w:lang w:val="en-GB"/>
        </w:rPr>
        <w:t xml:space="preserve"> </w:t>
      </w:r>
      <w:r w:rsidR="005050E0">
        <w:rPr>
          <w:rFonts w:ascii="Times New Roman" w:hAnsi="Times New Roman" w:cs="Times New Roman"/>
          <w:sz w:val="24"/>
          <w:szCs w:val="24"/>
          <w:lang w:val="en-GB"/>
        </w:rPr>
        <w:t xml:space="preserve">wage costs </w:t>
      </w:r>
      <w:r w:rsidR="00B36775">
        <w:rPr>
          <w:rFonts w:ascii="Times New Roman" w:hAnsi="Times New Roman" w:cs="Times New Roman"/>
          <w:sz w:val="24"/>
          <w:szCs w:val="24"/>
          <w:lang w:val="en-GB"/>
        </w:rPr>
        <w:t>rose</w:t>
      </w:r>
      <w:r w:rsidR="005A37F6">
        <w:rPr>
          <w:rFonts w:ascii="Times New Roman" w:hAnsi="Times New Roman" w:cs="Times New Roman"/>
          <w:sz w:val="24"/>
          <w:szCs w:val="24"/>
          <w:lang w:val="en-GB"/>
        </w:rPr>
        <w:t xml:space="preserve"> much </w:t>
      </w:r>
      <w:r w:rsidR="00661D8D">
        <w:rPr>
          <w:rFonts w:ascii="Times New Roman" w:hAnsi="Times New Roman" w:cs="Times New Roman"/>
          <w:sz w:val="24"/>
          <w:szCs w:val="24"/>
          <w:lang w:val="en-GB"/>
        </w:rPr>
        <w:t>more</w:t>
      </w:r>
      <w:r w:rsidR="005A37F6">
        <w:rPr>
          <w:rFonts w:ascii="Times New Roman" w:hAnsi="Times New Roman" w:cs="Times New Roman"/>
          <w:sz w:val="24"/>
          <w:szCs w:val="24"/>
          <w:lang w:val="en-GB"/>
        </w:rPr>
        <w:t xml:space="preserve"> in Norway </w:t>
      </w:r>
      <w:r w:rsidR="005A37F6">
        <w:rPr>
          <w:rFonts w:ascii="Times New Roman" w:hAnsi="Times New Roman" w:cs="Times New Roman"/>
          <w:sz w:val="24"/>
          <w:szCs w:val="24"/>
          <w:lang w:val="en-GB"/>
        </w:rPr>
        <w:lastRenderedPageBreak/>
        <w:t xml:space="preserve">and Sweden </w:t>
      </w:r>
      <w:r w:rsidR="00EE7E50">
        <w:rPr>
          <w:rFonts w:ascii="Times New Roman" w:hAnsi="Times New Roman" w:cs="Times New Roman"/>
          <w:sz w:val="24"/>
          <w:szCs w:val="24"/>
          <w:lang w:val="en-GB"/>
        </w:rPr>
        <w:t xml:space="preserve">than in the euro area in national </w:t>
      </w:r>
      <w:r w:rsidR="00360F8C">
        <w:rPr>
          <w:rFonts w:ascii="Times New Roman" w:hAnsi="Times New Roman" w:cs="Times New Roman"/>
          <w:sz w:val="24"/>
          <w:szCs w:val="24"/>
          <w:lang w:val="en-GB"/>
        </w:rPr>
        <w:t xml:space="preserve">currencies, they </w:t>
      </w:r>
      <w:r w:rsidR="00B36775">
        <w:rPr>
          <w:rFonts w:ascii="Times New Roman" w:hAnsi="Times New Roman" w:cs="Times New Roman"/>
          <w:sz w:val="24"/>
          <w:szCs w:val="24"/>
          <w:lang w:val="en-GB"/>
        </w:rPr>
        <w:t>increased</w:t>
      </w:r>
      <w:r w:rsidR="00360F8C">
        <w:rPr>
          <w:rFonts w:ascii="Times New Roman" w:hAnsi="Times New Roman" w:cs="Times New Roman"/>
          <w:sz w:val="24"/>
          <w:szCs w:val="24"/>
          <w:lang w:val="en-GB"/>
        </w:rPr>
        <w:t xml:space="preserve"> </w:t>
      </w:r>
      <w:r w:rsidR="00661D8D">
        <w:rPr>
          <w:rFonts w:ascii="Times New Roman" w:hAnsi="Times New Roman" w:cs="Times New Roman"/>
          <w:sz w:val="24"/>
          <w:szCs w:val="24"/>
          <w:lang w:val="en-GB"/>
        </w:rPr>
        <w:t>somewhat less in common curr</w:t>
      </w:r>
      <w:r w:rsidR="001F3570">
        <w:rPr>
          <w:rFonts w:ascii="Times New Roman" w:hAnsi="Times New Roman" w:cs="Times New Roman"/>
          <w:sz w:val="24"/>
          <w:szCs w:val="24"/>
          <w:lang w:val="en-GB"/>
        </w:rPr>
        <w:t xml:space="preserve">ency. The </w:t>
      </w:r>
      <w:r w:rsidR="003C39F5">
        <w:rPr>
          <w:rFonts w:ascii="Times New Roman" w:hAnsi="Times New Roman" w:cs="Times New Roman"/>
          <w:sz w:val="24"/>
          <w:szCs w:val="24"/>
          <w:lang w:val="en-GB"/>
        </w:rPr>
        <w:t>difference is</w:t>
      </w:r>
      <w:r w:rsidR="002A7FED">
        <w:rPr>
          <w:rFonts w:ascii="Times New Roman" w:hAnsi="Times New Roman" w:cs="Times New Roman"/>
          <w:sz w:val="24"/>
          <w:szCs w:val="24"/>
          <w:lang w:val="en-GB"/>
        </w:rPr>
        <w:t xml:space="preserve"> due to</w:t>
      </w:r>
      <w:r w:rsidR="003C39F5">
        <w:rPr>
          <w:rFonts w:ascii="Times New Roman" w:hAnsi="Times New Roman" w:cs="Times New Roman"/>
          <w:sz w:val="24"/>
          <w:szCs w:val="24"/>
          <w:lang w:val="en-GB"/>
        </w:rPr>
        <w:t xml:space="preserve"> the large depreciations of the two </w:t>
      </w:r>
      <w:r w:rsidR="005315E5">
        <w:rPr>
          <w:rFonts w:ascii="Times New Roman" w:hAnsi="Times New Roman" w:cs="Times New Roman"/>
          <w:sz w:val="24"/>
          <w:szCs w:val="24"/>
          <w:lang w:val="en-GB"/>
        </w:rPr>
        <w:t>countries’ currencies since 2013</w:t>
      </w:r>
      <w:r w:rsidR="00A11758">
        <w:rPr>
          <w:rFonts w:ascii="Times New Roman" w:hAnsi="Times New Roman" w:cs="Times New Roman"/>
          <w:sz w:val="24"/>
          <w:szCs w:val="24"/>
          <w:lang w:val="en-GB"/>
        </w:rPr>
        <w:t xml:space="preserve">. </w:t>
      </w:r>
      <w:r w:rsidR="006647B8">
        <w:rPr>
          <w:rFonts w:ascii="Times New Roman" w:hAnsi="Times New Roman" w:cs="Times New Roman"/>
          <w:sz w:val="24"/>
          <w:szCs w:val="24"/>
          <w:lang w:val="en-GB"/>
        </w:rPr>
        <w:t>W</w:t>
      </w:r>
      <w:r w:rsidR="00A11758">
        <w:rPr>
          <w:rFonts w:ascii="Times New Roman" w:hAnsi="Times New Roman" w:cs="Times New Roman"/>
          <w:sz w:val="24"/>
          <w:szCs w:val="24"/>
          <w:lang w:val="en-GB"/>
        </w:rPr>
        <w:t xml:space="preserve">age costs </w:t>
      </w:r>
      <w:r w:rsidR="00BF0968">
        <w:rPr>
          <w:rFonts w:ascii="Times New Roman" w:hAnsi="Times New Roman" w:cs="Times New Roman"/>
          <w:sz w:val="24"/>
          <w:szCs w:val="24"/>
          <w:lang w:val="en-GB"/>
        </w:rPr>
        <w:t xml:space="preserve">in </w:t>
      </w:r>
      <w:r w:rsidR="003B7FC1">
        <w:rPr>
          <w:rFonts w:ascii="Times New Roman" w:hAnsi="Times New Roman" w:cs="Times New Roman"/>
          <w:sz w:val="24"/>
          <w:szCs w:val="24"/>
          <w:lang w:val="en-GB"/>
        </w:rPr>
        <w:t>euros</w:t>
      </w:r>
      <w:r w:rsidR="00BF0968">
        <w:rPr>
          <w:rFonts w:ascii="Times New Roman" w:hAnsi="Times New Roman" w:cs="Times New Roman"/>
          <w:sz w:val="24"/>
          <w:szCs w:val="24"/>
          <w:lang w:val="en-GB"/>
        </w:rPr>
        <w:t xml:space="preserve"> increased more in Denmark and Finland than in</w:t>
      </w:r>
      <w:r w:rsidR="006647B8">
        <w:rPr>
          <w:rFonts w:ascii="Times New Roman" w:hAnsi="Times New Roman" w:cs="Times New Roman"/>
          <w:sz w:val="24"/>
          <w:szCs w:val="24"/>
          <w:lang w:val="en-GB"/>
        </w:rPr>
        <w:t xml:space="preserve"> both </w:t>
      </w:r>
      <w:r w:rsidR="00335A18">
        <w:rPr>
          <w:rFonts w:ascii="Times New Roman" w:hAnsi="Times New Roman" w:cs="Times New Roman"/>
          <w:sz w:val="24"/>
          <w:szCs w:val="24"/>
          <w:lang w:val="en-GB"/>
        </w:rPr>
        <w:t>Norway and Sweden as well as in the euro area.</w:t>
      </w:r>
    </w:p>
    <w:p w14:paraId="22621658" w14:textId="718F3042" w:rsidR="00AE2C32" w:rsidRPr="00A97FF9" w:rsidRDefault="00AE2C32" w:rsidP="00AE2C32">
      <w:pPr>
        <w:rPr>
          <w:b/>
          <w:bCs/>
          <w:lang w:val="en-GB"/>
        </w:rPr>
      </w:pPr>
      <w:r w:rsidRPr="00A97FF9">
        <w:rPr>
          <w:rFonts w:ascii="Times New Roman" w:hAnsi="Times New Roman" w:cs="Times New Roman"/>
          <w:b/>
          <w:bCs/>
          <w:lang w:val="en-GB"/>
        </w:rPr>
        <w:t xml:space="preserve">Figure </w:t>
      </w:r>
      <w:r w:rsidR="00C274E1" w:rsidRPr="00A97FF9">
        <w:rPr>
          <w:rFonts w:ascii="Times New Roman" w:hAnsi="Times New Roman" w:cs="Times New Roman"/>
          <w:b/>
          <w:bCs/>
          <w:lang w:val="en-GB"/>
        </w:rPr>
        <w:t>3</w:t>
      </w:r>
      <w:r w:rsidR="00040323" w:rsidRPr="00A97FF9">
        <w:rPr>
          <w:rFonts w:ascii="Times New Roman" w:hAnsi="Times New Roman" w:cs="Times New Roman"/>
          <w:b/>
          <w:bCs/>
          <w:lang w:val="en-GB"/>
        </w:rPr>
        <w:t>a.</w:t>
      </w:r>
      <w:r w:rsidRPr="00A97FF9">
        <w:rPr>
          <w:rFonts w:ascii="Times New Roman" w:hAnsi="Times New Roman" w:cs="Times New Roman"/>
          <w:b/>
          <w:bCs/>
          <w:lang w:val="en-GB"/>
        </w:rPr>
        <w:t xml:space="preserve"> Nominal </w:t>
      </w:r>
      <w:r w:rsidR="006321B6" w:rsidRPr="00A97FF9">
        <w:rPr>
          <w:rFonts w:ascii="Times New Roman" w:hAnsi="Times New Roman" w:cs="Times New Roman"/>
          <w:b/>
          <w:bCs/>
          <w:lang w:val="en-GB"/>
        </w:rPr>
        <w:t xml:space="preserve">hourly </w:t>
      </w:r>
      <w:r w:rsidRPr="00A97FF9">
        <w:rPr>
          <w:rFonts w:ascii="Times New Roman" w:hAnsi="Times New Roman" w:cs="Times New Roman"/>
          <w:b/>
          <w:bCs/>
          <w:lang w:val="en-GB"/>
        </w:rPr>
        <w:t xml:space="preserve">wage </w:t>
      </w:r>
      <w:r w:rsidR="00AF4339" w:rsidRPr="00A97FF9">
        <w:rPr>
          <w:rFonts w:ascii="Times New Roman" w:hAnsi="Times New Roman" w:cs="Times New Roman"/>
          <w:b/>
          <w:bCs/>
          <w:lang w:val="en-GB"/>
        </w:rPr>
        <w:t xml:space="preserve">cost </w:t>
      </w:r>
      <w:r w:rsidRPr="00A97FF9">
        <w:rPr>
          <w:rFonts w:ascii="Times New Roman" w:hAnsi="Times New Roman" w:cs="Times New Roman"/>
          <w:b/>
          <w:bCs/>
          <w:lang w:val="en-GB"/>
        </w:rPr>
        <w:t>in national currenc</w:t>
      </w:r>
      <w:r w:rsidR="0020112E" w:rsidRPr="00A97FF9">
        <w:rPr>
          <w:rFonts w:ascii="Times New Roman" w:hAnsi="Times New Roman" w:cs="Times New Roman"/>
          <w:b/>
          <w:bCs/>
          <w:lang w:val="en-GB"/>
        </w:rPr>
        <w:t>y</w:t>
      </w:r>
      <w:r w:rsidR="00BC719B" w:rsidRPr="00A97FF9">
        <w:rPr>
          <w:rFonts w:ascii="Times New Roman" w:hAnsi="Times New Roman" w:cs="Times New Roman"/>
          <w:b/>
          <w:bCs/>
          <w:lang w:val="en-GB"/>
        </w:rPr>
        <w:t xml:space="preserve"> in manufacturing in the Nordic countries and the euro area, index </w:t>
      </w:r>
    </w:p>
    <w:p w14:paraId="1E579E56" w14:textId="77777777" w:rsidR="00AE2C32" w:rsidRDefault="00AE2C32" w:rsidP="00D03C0E">
      <w:pPr>
        <w:rPr>
          <w:rFonts w:ascii="Times New Roman" w:hAnsi="Times New Roman" w:cs="Times New Roman"/>
          <w:sz w:val="20"/>
          <w:szCs w:val="20"/>
          <w:lang w:val="en-GB"/>
        </w:rPr>
      </w:pPr>
    </w:p>
    <w:p w14:paraId="66225D41" w14:textId="60743B0F" w:rsidR="00040323" w:rsidRDefault="00687A0B" w:rsidP="00687A0B">
      <w:r>
        <w:rPr>
          <w:noProof/>
        </w:rPr>
        <w:drawing>
          <wp:inline distT="0" distB="0" distL="0" distR="0" wp14:anchorId="03F0A1E8" wp14:editId="681E5D3A">
            <wp:extent cx="5109883" cy="3048000"/>
            <wp:effectExtent l="0" t="0" r="14605" b="0"/>
            <wp:docPr id="1638373263" name="Diagram 1">
              <a:extLst xmlns:a="http://schemas.openxmlformats.org/drawingml/2006/main">
                <a:ext uri="{FF2B5EF4-FFF2-40B4-BE49-F238E27FC236}">
                  <a16:creationId xmlns:a16="http://schemas.microsoft.com/office/drawing/2014/main" id="{4D1DB7C6-E5FC-78F1-30F9-7A0CDBD550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82CBE6" w14:textId="1294C058" w:rsidR="00812618" w:rsidRDefault="00812618" w:rsidP="005A0DE4">
      <w:pPr>
        <w:spacing w:line="240" w:lineRule="auto"/>
        <w:rPr>
          <w:rFonts w:ascii="Times New Roman" w:hAnsi="Times New Roman" w:cs="Times New Roman"/>
          <w:sz w:val="20"/>
          <w:szCs w:val="20"/>
          <w:lang w:val="en-GB"/>
        </w:rPr>
      </w:pPr>
      <w:r w:rsidRPr="00812618">
        <w:rPr>
          <w:rFonts w:ascii="Times New Roman" w:hAnsi="Times New Roman" w:cs="Times New Roman"/>
          <w:sz w:val="20"/>
          <w:szCs w:val="20"/>
          <w:lang w:val="en-GB"/>
        </w:rPr>
        <w:t>No</w:t>
      </w:r>
      <w:r>
        <w:rPr>
          <w:rFonts w:ascii="Times New Roman" w:hAnsi="Times New Roman" w:cs="Times New Roman"/>
          <w:sz w:val="20"/>
          <w:szCs w:val="20"/>
          <w:lang w:val="en-GB"/>
        </w:rPr>
        <w:t>te: See Figure 2b.</w:t>
      </w:r>
    </w:p>
    <w:p w14:paraId="6A23C545" w14:textId="379F2BAB" w:rsidR="00AF3F66" w:rsidRDefault="00AF3F66" w:rsidP="005A0DE4">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Sources:</w:t>
      </w:r>
      <w:r w:rsidR="00302251">
        <w:rPr>
          <w:rFonts w:ascii="Times New Roman" w:hAnsi="Times New Roman" w:cs="Times New Roman"/>
          <w:sz w:val="20"/>
          <w:szCs w:val="20"/>
          <w:lang w:val="en-GB"/>
        </w:rPr>
        <w:t xml:space="preserve"> Own calculations based on</w:t>
      </w:r>
      <w:r>
        <w:rPr>
          <w:rFonts w:ascii="Times New Roman" w:hAnsi="Times New Roman" w:cs="Times New Roman"/>
          <w:sz w:val="20"/>
          <w:szCs w:val="20"/>
          <w:lang w:val="en-GB"/>
        </w:rPr>
        <w:t xml:space="preserve"> Eurostat (all countries except Norway)</w:t>
      </w:r>
      <w:r w:rsidR="00991369">
        <w:rPr>
          <w:rFonts w:ascii="Times New Roman" w:hAnsi="Times New Roman" w:cs="Times New Roman"/>
          <w:sz w:val="20"/>
          <w:szCs w:val="20"/>
          <w:lang w:val="en-GB"/>
        </w:rPr>
        <w:t xml:space="preserve"> and </w:t>
      </w:r>
      <w:r>
        <w:rPr>
          <w:rFonts w:ascii="Times New Roman" w:hAnsi="Times New Roman" w:cs="Times New Roman"/>
          <w:sz w:val="20"/>
          <w:szCs w:val="20"/>
          <w:lang w:val="en-GB"/>
        </w:rPr>
        <w:t>Statistics Norway (Norway).</w:t>
      </w:r>
    </w:p>
    <w:p w14:paraId="012D52CC" w14:textId="77777777" w:rsidR="00DC5EDB" w:rsidRDefault="00DC5EDB" w:rsidP="005A0DE4">
      <w:pPr>
        <w:spacing w:line="240" w:lineRule="auto"/>
        <w:rPr>
          <w:rFonts w:ascii="Times New Roman" w:hAnsi="Times New Roman" w:cs="Times New Roman"/>
          <w:sz w:val="20"/>
          <w:szCs w:val="20"/>
          <w:lang w:val="en-GB"/>
        </w:rPr>
      </w:pPr>
    </w:p>
    <w:p w14:paraId="7524CB94" w14:textId="77777777" w:rsidR="00DC5EDB" w:rsidRDefault="00DC5EDB" w:rsidP="005A0DE4">
      <w:pPr>
        <w:spacing w:line="240" w:lineRule="auto"/>
        <w:rPr>
          <w:rFonts w:ascii="Times New Roman" w:hAnsi="Times New Roman" w:cs="Times New Roman"/>
          <w:sz w:val="20"/>
          <w:szCs w:val="20"/>
          <w:lang w:val="en-GB"/>
        </w:rPr>
      </w:pPr>
    </w:p>
    <w:p w14:paraId="461C726D" w14:textId="77777777" w:rsidR="00DC5EDB" w:rsidRDefault="00DC5EDB" w:rsidP="005A0DE4">
      <w:pPr>
        <w:spacing w:line="240" w:lineRule="auto"/>
        <w:rPr>
          <w:rFonts w:ascii="Times New Roman" w:hAnsi="Times New Roman" w:cs="Times New Roman"/>
          <w:sz w:val="20"/>
          <w:szCs w:val="20"/>
          <w:lang w:val="en-GB"/>
        </w:rPr>
      </w:pPr>
    </w:p>
    <w:p w14:paraId="665636A8" w14:textId="77777777" w:rsidR="00DC5EDB" w:rsidRDefault="00DC5EDB" w:rsidP="005A0DE4">
      <w:pPr>
        <w:spacing w:line="240" w:lineRule="auto"/>
        <w:rPr>
          <w:rFonts w:ascii="Times New Roman" w:hAnsi="Times New Roman" w:cs="Times New Roman"/>
          <w:sz w:val="20"/>
          <w:szCs w:val="20"/>
          <w:lang w:val="en-GB"/>
        </w:rPr>
      </w:pPr>
    </w:p>
    <w:p w14:paraId="69259184" w14:textId="77777777" w:rsidR="00DC5EDB" w:rsidRDefault="00DC5EDB" w:rsidP="005A0DE4">
      <w:pPr>
        <w:spacing w:line="240" w:lineRule="auto"/>
        <w:rPr>
          <w:rFonts w:ascii="Times New Roman" w:hAnsi="Times New Roman" w:cs="Times New Roman"/>
          <w:sz w:val="20"/>
          <w:szCs w:val="20"/>
          <w:lang w:val="en-GB"/>
        </w:rPr>
      </w:pPr>
    </w:p>
    <w:p w14:paraId="480A2CD2" w14:textId="77777777" w:rsidR="00DC5EDB" w:rsidRDefault="00DC5EDB" w:rsidP="005A0DE4">
      <w:pPr>
        <w:spacing w:line="240" w:lineRule="auto"/>
        <w:rPr>
          <w:rFonts w:ascii="Times New Roman" w:hAnsi="Times New Roman" w:cs="Times New Roman"/>
          <w:sz w:val="20"/>
          <w:szCs w:val="20"/>
          <w:lang w:val="en-GB"/>
        </w:rPr>
      </w:pPr>
    </w:p>
    <w:p w14:paraId="77BE57E7" w14:textId="77777777" w:rsidR="00DC5EDB" w:rsidRDefault="00DC5EDB" w:rsidP="005A0DE4">
      <w:pPr>
        <w:spacing w:line="240" w:lineRule="auto"/>
        <w:rPr>
          <w:rFonts w:ascii="Times New Roman" w:hAnsi="Times New Roman" w:cs="Times New Roman"/>
          <w:sz w:val="20"/>
          <w:szCs w:val="20"/>
          <w:lang w:val="en-GB"/>
        </w:rPr>
      </w:pPr>
    </w:p>
    <w:p w14:paraId="00374F52" w14:textId="77777777" w:rsidR="00DC5EDB" w:rsidRDefault="00DC5EDB" w:rsidP="005A0DE4">
      <w:pPr>
        <w:spacing w:line="240" w:lineRule="auto"/>
        <w:rPr>
          <w:rFonts w:ascii="Times New Roman" w:hAnsi="Times New Roman" w:cs="Times New Roman"/>
          <w:sz w:val="20"/>
          <w:szCs w:val="20"/>
          <w:lang w:val="en-GB"/>
        </w:rPr>
      </w:pPr>
    </w:p>
    <w:p w14:paraId="1AAF8FEC" w14:textId="77777777" w:rsidR="00DC5EDB" w:rsidRDefault="00DC5EDB" w:rsidP="005A0DE4">
      <w:pPr>
        <w:spacing w:line="240" w:lineRule="auto"/>
        <w:rPr>
          <w:rFonts w:ascii="Times New Roman" w:hAnsi="Times New Roman" w:cs="Times New Roman"/>
          <w:sz w:val="20"/>
          <w:szCs w:val="20"/>
          <w:lang w:val="en-GB"/>
        </w:rPr>
      </w:pPr>
    </w:p>
    <w:p w14:paraId="7271A28F" w14:textId="77777777" w:rsidR="00DC5EDB" w:rsidRDefault="00DC5EDB" w:rsidP="005A0DE4">
      <w:pPr>
        <w:spacing w:line="240" w:lineRule="auto"/>
        <w:rPr>
          <w:rFonts w:ascii="Times New Roman" w:hAnsi="Times New Roman" w:cs="Times New Roman"/>
          <w:sz w:val="20"/>
          <w:szCs w:val="20"/>
          <w:lang w:val="en-GB"/>
        </w:rPr>
      </w:pPr>
    </w:p>
    <w:p w14:paraId="68D9ABD0" w14:textId="77777777" w:rsidR="00A97FF9" w:rsidRDefault="00A97FF9" w:rsidP="005A0DE4">
      <w:pPr>
        <w:rPr>
          <w:rFonts w:ascii="Times New Roman" w:hAnsi="Times New Roman" w:cs="Times New Roman"/>
          <w:b/>
          <w:bCs/>
          <w:sz w:val="24"/>
          <w:szCs w:val="24"/>
          <w:lang w:val="en-GB"/>
        </w:rPr>
      </w:pPr>
    </w:p>
    <w:p w14:paraId="2109520B" w14:textId="77777777" w:rsidR="00A97FF9" w:rsidRDefault="00A97FF9" w:rsidP="005A0DE4">
      <w:pPr>
        <w:rPr>
          <w:rFonts w:ascii="Times New Roman" w:hAnsi="Times New Roman" w:cs="Times New Roman"/>
          <w:b/>
          <w:bCs/>
          <w:sz w:val="24"/>
          <w:szCs w:val="24"/>
          <w:lang w:val="en-GB"/>
        </w:rPr>
      </w:pPr>
    </w:p>
    <w:p w14:paraId="555497DB" w14:textId="01A138B6" w:rsidR="005A0DE4" w:rsidRPr="00A97FF9" w:rsidRDefault="005A0DE4" w:rsidP="005A0DE4">
      <w:pPr>
        <w:rPr>
          <w:rFonts w:ascii="Times New Roman" w:hAnsi="Times New Roman" w:cs="Times New Roman"/>
          <w:b/>
          <w:bCs/>
          <w:lang w:val="en-GB"/>
        </w:rPr>
      </w:pPr>
      <w:r w:rsidRPr="00A97FF9">
        <w:rPr>
          <w:rFonts w:ascii="Times New Roman" w:hAnsi="Times New Roman" w:cs="Times New Roman"/>
          <w:b/>
          <w:bCs/>
          <w:lang w:val="en-GB"/>
        </w:rPr>
        <w:lastRenderedPageBreak/>
        <w:t xml:space="preserve">Figure 3b. Nominal </w:t>
      </w:r>
      <w:r w:rsidR="006321B6" w:rsidRPr="00A97FF9">
        <w:rPr>
          <w:rFonts w:ascii="Times New Roman" w:hAnsi="Times New Roman" w:cs="Times New Roman"/>
          <w:b/>
          <w:bCs/>
          <w:lang w:val="en-GB"/>
        </w:rPr>
        <w:t xml:space="preserve">hourly </w:t>
      </w:r>
      <w:r w:rsidRPr="00A97FF9">
        <w:rPr>
          <w:rFonts w:ascii="Times New Roman" w:hAnsi="Times New Roman" w:cs="Times New Roman"/>
          <w:b/>
          <w:bCs/>
          <w:lang w:val="en-GB"/>
        </w:rPr>
        <w:t xml:space="preserve">wage cost in </w:t>
      </w:r>
      <w:r w:rsidR="00FF55CE" w:rsidRPr="00A97FF9">
        <w:rPr>
          <w:rFonts w:ascii="Times New Roman" w:hAnsi="Times New Roman" w:cs="Times New Roman"/>
          <w:b/>
          <w:bCs/>
          <w:lang w:val="en-GB"/>
        </w:rPr>
        <w:t>euro</w:t>
      </w:r>
      <w:r w:rsidR="003B7FC1" w:rsidRPr="00A97FF9">
        <w:rPr>
          <w:rFonts w:ascii="Times New Roman" w:hAnsi="Times New Roman" w:cs="Times New Roman"/>
          <w:b/>
          <w:bCs/>
          <w:lang w:val="en-GB"/>
        </w:rPr>
        <w:t>s</w:t>
      </w:r>
      <w:r w:rsidR="00645EE9" w:rsidRPr="00A97FF9">
        <w:rPr>
          <w:rFonts w:ascii="Times New Roman" w:hAnsi="Times New Roman" w:cs="Times New Roman"/>
          <w:b/>
          <w:bCs/>
          <w:lang w:val="en-GB"/>
        </w:rPr>
        <w:t xml:space="preserve"> in manufacturing in the Nordic countries and </w:t>
      </w:r>
      <w:r w:rsidR="00C81D22" w:rsidRPr="00A97FF9">
        <w:rPr>
          <w:rFonts w:ascii="Times New Roman" w:hAnsi="Times New Roman" w:cs="Times New Roman"/>
          <w:b/>
          <w:bCs/>
          <w:lang w:val="en-GB"/>
        </w:rPr>
        <w:t>the euro area</w:t>
      </w:r>
      <w:r w:rsidR="00ED340E" w:rsidRPr="00A97FF9">
        <w:rPr>
          <w:rFonts w:ascii="Times New Roman" w:hAnsi="Times New Roman" w:cs="Times New Roman"/>
          <w:b/>
          <w:bCs/>
          <w:lang w:val="en-GB"/>
        </w:rPr>
        <w:t>, index</w:t>
      </w:r>
    </w:p>
    <w:p w14:paraId="4EE80337" w14:textId="77777777" w:rsidR="005A0DE4" w:rsidRPr="005A0DE4" w:rsidRDefault="005A0DE4" w:rsidP="005A0DE4">
      <w:pPr>
        <w:spacing w:line="240" w:lineRule="auto"/>
        <w:rPr>
          <w:rFonts w:ascii="Times New Roman" w:hAnsi="Times New Roman" w:cs="Times New Roman"/>
          <w:sz w:val="24"/>
          <w:szCs w:val="24"/>
          <w:lang w:val="en-GB"/>
        </w:rPr>
      </w:pPr>
    </w:p>
    <w:p w14:paraId="4886172D" w14:textId="77777777" w:rsidR="005A0DE4" w:rsidRDefault="005A0DE4" w:rsidP="005A0DE4">
      <w:r>
        <w:rPr>
          <w:noProof/>
        </w:rPr>
        <w:drawing>
          <wp:inline distT="0" distB="0" distL="0" distR="0" wp14:anchorId="132752C6" wp14:editId="3389EB35">
            <wp:extent cx="5295697" cy="2857500"/>
            <wp:effectExtent l="0" t="0" r="635" b="0"/>
            <wp:docPr id="1894462079" name="Diagram 1">
              <a:extLst xmlns:a="http://schemas.openxmlformats.org/drawingml/2006/main">
                <a:ext uri="{FF2B5EF4-FFF2-40B4-BE49-F238E27FC236}">
                  <a16:creationId xmlns:a16="http://schemas.microsoft.com/office/drawing/2014/main" id="{AE7108B1-E8B2-9FD0-5F94-C21176B8F7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DE511B" w14:textId="649630C8" w:rsidR="0097411C" w:rsidRDefault="0097411C" w:rsidP="0097411C">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Note: See Figure 2b. </w:t>
      </w:r>
    </w:p>
    <w:p w14:paraId="74559AFA" w14:textId="2BACD2F1" w:rsidR="005A0DE4" w:rsidRDefault="005A0DE4" w:rsidP="0097411C">
      <w:pPr>
        <w:spacing w:line="240" w:lineRule="auto"/>
        <w:rPr>
          <w:rFonts w:ascii="Times New Roman" w:hAnsi="Times New Roman" w:cs="Times New Roman"/>
          <w:sz w:val="20"/>
          <w:szCs w:val="20"/>
          <w:lang w:val="en-GB"/>
        </w:rPr>
      </w:pPr>
      <w:r w:rsidRPr="00C81D22">
        <w:rPr>
          <w:rFonts w:ascii="Times New Roman" w:hAnsi="Times New Roman" w:cs="Times New Roman"/>
          <w:sz w:val="20"/>
          <w:szCs w:val="20"/>
          <w:lang w:val="en-GB"/>
        </w:rPr>
        <w:t>Source</w:t>
      </w:r>
      <w:r w:rsidR="00105DFE">
        <w:rPr>
          <w:rFonts w:ascii="Times New Roman" w:hAnsi="Times New Roman" w:cs="Times New Roman"/>
          <w:sz w:val="20"/>
          <w:szCs w:val="20"/>
          <w:lang w:val="en-GB"/>
        </w:rPr>
        <w:t>s</w:t>
      </w:r>
      <w:r w:rsidRPr="00C81D22">
        <w:rPr>
          <w:rFonts w:ascii="Times New Roman" w:hAnsi="Times New Roman" w:cs="Times New Roman"/>
          <w:sz w:val="20"/>
          <w:szCs w:val="20"/>
          <w:lang w:val="en-GB"/>
        </w:rPr>
        <w:t xml:space="preserve">: </w:t>
      </w:r>
      <w:r w:rsidR="00991369">
        <w:rPr>
          <w:rFonts w:ascii="Times New Roman" w:hAnsi="Times New Roman" w:cs="Times New Roman"/>
          <w:sz w:val="20"/>
          <w:szCs w:val="20"/>
          <w:lang w:val="en-GB"/>
        </w:rPr>
        <w:t xml:space="preserve">Own calculations based on </w:t>
      </w:r>
      <w:r w:rsidRPr="00C81D22">
        <w:rPr>
          <w:rFonts w:ascii="Times New Roman" w:hAnsi="Times New Roman" w:cs="Times New Roman"/>
          <w:sz w:val="20"/>
          <w:szCs w:val="20"/>
          <w:lang w:val="en-GB"/>
        </w:rPr>
        <w:t>Eurostat</w:t>
      </w:r>
      <w:r w:rsidR="00991369">
        <w:rPr>
          <w:rFonts w:ascii="Times New Roman" w:hAnsi="Times New Roman" w:cs="Times New Roman"/>
          <w:sz w:val="20"/>
          <w:szCs w:val="20"/>
          <w:lang w:val="en-GB"/>
        </w:rPr>
        <w:t xml:space="preserve">, </w:t>
      </w:r>
      <w:r w:rsidR="00105DFE">
        <w:rPr>
          <w:rFonts w:ascii="Times New Roman" w:hAnsi="Times New Roman" w:cs="Times New Roman"/>
          <w:sz w:val="20"/>
          <w:szCs w:val="20"/>
          <w:lang w:val="en-GB"/>
        </w:rPr>
        <w:t>Statistics Norway</w:t>
      </w:r>
      <w:r w:rsidR="0097411C">
        <w:rPr>
          <w:rFonts w:ascii="Times New Roman" w:hAnsi="Times New Roman" w:cs="Times New Roman"/>
          <w:sz w:val="20"/>
          <w:szCs w:val="20"/>
          <w:lang w:val="en-GB"/>
        </w:rPr>
        <w:t xml:space="preserve"> and ECB.</w:t>
      </w:r>
    </w:p>
    <w:p w14:paraId="4483757B" w14:textId="08D20E27" w:rsidR="00FA1A58" w:rsidRDefault="00FA1A58" w:rsidP="00FA1A58">
      <w:pPr>
        <w:pStyle w:val="Heading2"/>
        <w:rPr>
          <w:lang w:val="en-GB"/>
        </w:rPr>
      </w:pPr>
      <w:r>
        <w:rPr>
          <w:lang w:val="en-GB"/>
        </w:rPr>
        <w:t>4.4 Unit labour cost levels</w:t>
      </w:r>
    </w:p>
    <w:p w14:paraId="59584F61" w14:textId="0C401CC8" w:rsidR="007E41E2" w:rsidRDefault="002D70BB" w:rsidP="000532B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According to Figure 4a,</w:t>
      </w:r>
      <w:r w:rsidR="005757E0">
        <w:rPr>
          <w:rFonts w:ascii="Times New Roman" w:hAnsi="Times New Roman" w:cs="Times New Roman"/>
          <w:sz w:val="24"/>
          <w:szCs w:val="24"/>
          <w:lang w:val="en-GB"/>
        </w:rPr>
        <w:t xml:space="preserve"> </w:t>
      </w:r>
      <w:r w:rsidR="004E0EB6">
        <w:rPr>
          <w:rFonts w:ascii="Times New Roman" w:hAnsi="Times New Roman" w:cs="Times New Roman"/>
          <w:sz w:val="24"/>
          <w:szCs w:val="24"/>
          <w:lang w:val="en-GB"/>
        </w:rPr>
        <w:t>the unit labour cost</w:t>
      </w:r>
      <w:r w:rsidR="000532B7">
        <w:rPr>
          <w:rFonts w:ascii="Times New Roman" w:hAnsi="Times New Roman" w:cs="Times New Roman"/>
          <w:sz w:val="24"/>
          <w:szCs w:val="24"/>
          <w:lang w:val="en-GB"/>
        </w:rPr>
        <w:t xml:space="preserve"> in manufacturing</w:t>
      </w:r>
      <w:r w:rsidR="004E0EB6">
        <w:rPr>
          <w:rFonts w:ascii="Times New Roman" w:hAnsi="Times New Roman" w:cs="Times New Roman"/>
          <w:sz w:val="24"/>
          <w:szCs w:val="24"/>
          <w:lang w:val="en-GB"/>
        </w:rPr>
        <w:t xml:space="preserve"> </w:t>
      </w:r>
      <w:r w:rsidR="000532B7">
        <w:rPr>
          <w:rFonts w:ascii="Times New Roman" w:hAnsi="Times New Roman" w:cs="Times New Roman"/>
          <w:sz w:val="24"/>
          <w:szCs w:val="24"/>
          <w:lang w:val="en-GB"/>
        </w:rPr>
        <w:t xml:space="preserve">in national currency </w:t>
      </w:r>
      <w:r w:rsidR="00F6087D">
        <w:rPr>
          <w:rFonts w:ascii="Times New Roman" w:hAnsi="Times New Roman" w:cs="Times New Roman"/>
          <w:sz w:val="24"/>
          <w:szCs w:val="24"/>
          <w:lang w:val="en-GB"/>
        </w:rPr>
        <w:t>fell</w:t>
      </w:r>
      <w:r w:rsidR="005C6004">
        <w:rPr>
          <w:rFonts w:ascii="Times New Roman" w:hAnsi="Times New Roman" w:cs="Times New Roman"/>
          <w:sz w:val="24"/>
          <w:szCs w:val="24"/>
          <w:lang w:val="en-GB"/>
        </w:rPr>
        <w:t xml:space="preserve"> over the 2000–23 period</w:t>
      </w:r>
      <w:r w:rsidR="000532B7">
        <w:rPr>
          <w:rFonts w:ascii="Times New Roman" w:hAnsi="Times New Roman" w:cs="Times New Roman"/>
          <w:sz w:val="24"/>
          <w:szCs w:val="24"/>
          <w:lang w:val="en-GB"/>
        </w:rPr>
        <w:t xml:space="preserve"> </w:t>
      </w:r>
      <w:r w:rsidR="006F6434">
        <w:rPr>
          <w:rFonts w:ascii="Times New Roman" w:hAnsi="Times New Roman" w:cs="Times New Roman"/>
          <w:sz w:val="24"/>
          <w:szCs w:val="24"/>
          <w:lang w:val="en-GB"/>
        </w:rPr>
        <w:t>in Sweden</w:t>
      </w:r>
      <w:r w:rsidR="00E4049F">
        <w:rPr>
          <w:rFonts w:ascii="Times New Roman" w:hAnsi="Times New Roman" w:cs="Times New Roman"/>
          <w:sz w:val="24"/>
          <w:szCs w:val="24"/>
          <w:lang w:val="en-GB"/>
        </w:rPr>
        <w:t xml:space="preserve"> and Denmark</w:t>
      </w:r>
      <w:r w:rsidR="005C6004">
        <w:rPr>
          <w:rFonts w:ascii="Times New Roman" w:hAnsi="Times New Roman" w:cs="Times New Roman"/>
          <w:sz w:val="24"/>
          <w:szCs w:val="24"/>
          <w:lang w:val="en-GB"/>
        </w:rPr>
        <w:t>, reflecting strong productivity growth</w:t>
      </w:r>
      <w:r w:rsidR="004C6690">
        <w:rPr>
          <w:rFonts w:ascii="Times New Roman" w:hAnsi="Times New Roman" w:cs="Times New Roman"/>
          <w:sz w:val="24"/>
          <w:szCs w:val="24"/>
          <w:lang w:val="en-GB"/>
        </w:rPr>
        <w:t xml:space="preserve">. </w:t>
      </w:r>
      <w:r w:rsidR="007A499E">
        <w:rPr>
          <w:rFonts w:ascii="Times New Roman" w:hAnsi="Times New Roman" w:cs="Times New Roman"/>
          <w:sz w:val="24"/>
          <w:szCs w:val="24"/>
          <w:lang w:val="en-GB"/>
        </w:rPr>
        <w:t xml:space="preserve">The </w:t>
      </w:r>
      <w:r w:rsidR="004C6690">
        <w:rPr>
          <w:rFonts w:ascii="Times New Roman" w:hAnsi="Times New Roman" w:cs="Times New Roman"/>
          <w:sz w:val="24"/>
          <w:szCs w:val="24"/>
          <w:lang w:val="en-GB"/>
        </w:rPr>
        <w:t>Finnish unit labour cost</w:t>
      </w:r>
      <w:r w:rsidR="00133A42">
        <w:rPr>
          <w:rFonts w:ascii="Times New Roman" w:hAnsi="Times New Roman" w:cs="Times New Roman"/>
          <w:sz w:val="24"/>
          <w:szCs w:val="24"/>
          <w:lang w:val="en-GB"/>
        </w:rPr>
        <w:t xml:space="preserve"> increased</w:t>
      </w:r>
      <w:r w:rsidR="00F43302">
        <w:rPr>
          <w:rFonts w:ascii="Times New Roman" w:hAnsi="Times New Roman" w:cs="Times New Roman"/>
          <w:sz w:val="24"/>
          <w:szCs w:val="24"/>
          <w:lang w:val="en-GB"/>
        </w:rPr>
        <w:t xml:space="preserve"> in line with </w:t>
      </w:r>
      <w:r w:rsidR="00F23C26">
        <w:rPr>
          <w:rFonts w:ascii="Times New Roman" w:hAnsi="Times New Roman" w:cs="Times New Roman"/>
          <w:sz w:val="24"/>
          <w:szCs w:val="24"/>
          <w:lang w:val="en-GB"/>
        </w:rPr>
        <w:t>th</w:t>
      </w:r>
      <w:r w:rsidR="00866FE2">
        <w:rPr>
          <w:rFonts w:ascii="Times New Roman" w:hAnsi="Times New Roman" w:cs="Times New Roman"/>
          <w:sz w:val="24"/>
          <w:szCs w:val="24"/>
          <w:lang w:val="en-GB"/>
        </w:rPr>
        <w:t>at</w:t>
      </w:r>
      <w:r w:rsidR="00F23C26">
        <w:rPr>
          <w:rFonts w:ascii="Times New Roman" w:hAnsi="Times New Roman" w:cs="Times New Roman"/>
          <w:sz w:val="24"/>
          <w:szCs w:val="24"/>
          <w:lang w:val="en-GB"/>
        </w:rPr>
        <w:t xml:space="preserve"> in the euro area, whereas Norwegian costs </w:t>
      </w:r>
      <w:r w:rsidR="000B37E3">
        <w:rPr>
          <w:rFonts w:ascii="Times New Roman" w:hAnsi="Times New Roman" w:cs="Times New Roman"/>
          <w:sz w:val="24"/>
          <w:szCs w:val="24"/>
          <w:lang w:val="en-GB"/>
        </w:rPr>
        <w:t>rose</w:t>
      </w:r>
      <w:r w:rsidR="00F23C26">
        <w:rPr>
          <w:rFonts w:ascii="Times New Roman" w:hAnsi="Times New Roman" w:cs="Times New Roman"/>
          <w:sz w:val="24"/>
          <w:szCs w:val="24"/>
          <w:lang w:val="en-GB"/>
        </w:rPr>
        <w:t xml:space="preserve"> faster.</w:t>
      </w:r>
      <w:r w:rsidR="00C8778F">
        <w:rPr>
          <w:rFonts w:ascii="Times New Roman" w:hAnsi="Times New Roman" w:cs="Times New Roman"/>
          <w:sz w:val="24"/>
          <w:szCs w:val="24"/>
          <w:lang w:val="en-GB"/>
        </w:rPr>
        <w:t xml:space="preserve"> Measured in euros</w:t>
      </w:r>
      <w:r w:rsidR="00EC4DCA">
        <w:rPr>
          <w:rFonts w:ascii="Times New Roman" w:hAnsi="Times New Roman" w:cs="Times New Roman"/>
          <w:sz w:val="24"/>
          <w:szCs w:val="24"/>
          <w:lang w:val="en-GB"/>
        </w:rPr>
        <w:t xml:space="preserve">, the fall in </w:t>
      </w:r>
      <w:r w:rsidR="00866FE2">
        <w:rPr>
          <w:rFonts w:ascii="Times New Roman" w:hAnsi="Times New Roman" w:cs="Times New Roman"/>
          <w:sz w:val="24"/>
          <w:szCs w:val="24"/>
          <w:lang w:val="en-GB"/>
        </w:rPr>
        <w:t xml:space="preserve">the </w:t>
      </w:r>
      <w:r w:rsidR="00EC4DCA">
        <w:rPr>
          <w:rFonts w:ascii="Times New Roman" w:hAnsi="Times New Roman" w:cs="Times New Roman"/>
          <w:sz w:val="24"/>
          <w:szCs w:val="24"/>
          <w:lang w:val="en-GB"/>
        </w:rPr>
        <w:t>Swedish</w:t>
      </w:r>
      <w:r w:rsidR="00866FE2">
        <w:rPr>
          <w:rFonts w:ascii="Times New Roman" w:hAnsi="Times New Roman" w:cs="Times New Roman"/>
          <w:sz w:val="24"/>
          <w:szCs w:val="24"/>
          <w:lang w:val="en-GB"/>
        </w:rPr>
        <w:t xml:space="preserve"> unit labour cost </w:t>
      </w:r>
      <w:r w:rsidR="00475A0A">
        <w:rPr>
          <w:rFonts w:ascii="Times New Roman" w:hAnsi="Times New Roman" w:cs="Times New Roman"/>
          <w:sz w:val="24"/>
          <w:szCs w:val="24"/>
          <w:lang w:val="en-GB"/>
        </w:rPr>
        <w:t xml:space="preserve">is even more pronounced and also the Norwegian cost </w:t>
      </w:r>
      <w:r w:rsidR="000B37E3">
        <w:rPr>
          <w:rFonts w:ascii="Times New Roman" w:hAnsi="Times New Roman" w:cs="Times New Roman"/>
          <w:sz w:val="24"/>
          <w:szCs w:val="24"/>
          <w:lang w:val="en-GB"/>
        </w:rPr>
        <w:t>decreased</w:t>
      </w:r>
      <w:r w:rsidR="00475A0A">
        <w:rPr>
          <w:rFonts w:ascii="Times New Roman" w:hAnsi="Times New Roman" w:cs="Times New Roman"/>
          <w:sz w:val="24"/>
          <w:szCs w:val="24"/>
          <w:lang w:val="en-GB"/>
        </w:rPr>
        <w:t>.</w:t>
      </w:r>
      <w:r w:rsidR="00EC4DCA">
        <w:rPr>
          <w:rFonts w:ascii="Times New Roman" w:hAnsi="Times New Roman" w:cs="Times New Roman"/>
          <w:sz w:val="24"/>
          <w:szCs w:val="24"/>
          <w:lang w:val="en-GB"/>
        </w:rPr>
        <w:t xml:space="preserve"> </w:t>
      </w:r>
      <w:r w:rsidR="006F6434">
        <w:rPr>
          <w:rFonts w:ascii="Times New Roman" w:hAnsi="Times New Roman" w:cs="Times New Roman"/>
          <w:sz w:val="24"/>
          <w:szCs w:val="24"/>
          <w:lang w:val="en-GB"/>
        </w:rPr>
        <w:t xml:space="preserve"> </w:t>
      </w:r>
    </w:p>
    <w:p w14:paraId="1835E502" w14:textId="77777777" w:rsidR="00F6087D" w:rsidRPr="007E41E2" w:rsidRDefault="00F6087D" w:rsidP="000532B7">
      <w:pPr>
        <w:spacing w:line="360" w:lineRule="auto"/>
        <w:jc w:val="both"/>
        <w:rPr>
          <w:rFonts w:ascii="Times New Roman" w:hAnsi="Times New Roman" w:cs="Times New Roman"/>
          <w:sz w:val="24"/>
          <w:szCs w:val="24"/>
          <w:lang w:val="en-GB"/>
        </w:rPr>
      </w:pPr>
    </w:p>
    <w:p w14:paraId="0384439E" w14:textId="77777777" w:rsidR="001C0AC6" w:rsidRDefault="001C0AC6" w:rsidP="003215F1">
      <w:pPr>
        <w:rPr>
          <w:rFonts w:ascii="Times New Roman" w:hAnsi="Times New Roman" w:cs="Times New Roman"/>
          <w:b/>
          <w:bCs/>
          <w:sz w:val="24"/>
          <w:szCs w:val="24"/>
          <w:lang w:val="en-GB"/>
        </w:rPr>
      </w:pPr>
    </w:p>
    <w:p w14:paraId="4411713E" w14:textId="77777777" w:rsidR="001C0AC6" w:rsidRDefault="001C0AC6" w:rsidP="003215F1">
      <w:pPr>
        <w:rPr>
          <w:rFonts w:ascii="Times New Roman" w:hAnsi="Times New Roman" w:cs="Times New Roman"/>
          <w:b/>
          <w:bCs/>
          <w:sz w:val="24"/>
          <w:szCs w:val="24"/>
          <w:lang w:val="en-GB"/>
        </w:rPr>
      </w:pPr>
    </w:p>
    <w:p w14:paraId="5EA4D70C" w14:textId="77777777" w:rsidR="001C0AC6" w:rsidRDefault="001C0AC6" w:rsidP="003215F1">
      <w:pPr>
        <w:rPr>
          <w:rFonts w:ascii="Times New Roman" w:hAnsi="Times New Roman" w:cs="Times New Roman"/>
          <w:b/>
          <w:bCs/>
          <w:sz w:val="24"/>
          <w:szCs w:val="24"/>
          <w:lang w:val="en-GB"/>
        </w:rPr>
      </w:pPr>
    </w:p>
    <w:p w14:paraId="0A576EFE" w14:textId="77777777" w:rsidR="001C0AC6" w:rsidRDefault="001C0AC6" w:rsidP="003215F1">
      <w:pPr>
        <w:rPr>
          <w:rFonts w:ascii="Times New Roman" w:hAnsi="Times New Roman" w:cs="Times New Roman"/>
          <w:b/>
          <w:bCs/>
          <w:sz w:val="24"/>
          <w:szCs w:val="24"/>
          <w:lang w:val="en-GB"/>
        </w:rPr>
      </w:pPr>
    </w:p>
    <w:p w14:paraId="41E9521D" w14:textId="77777777" w:rsidR="001C0AC6" w:rsidRDefault="001C0AC6" w:rsidP="003215F1">
      <w:pPr>
        <w:rPr>
          <w:rFonts w:ascii="Times New Roman" w:hAnsi="Times New Roman" w:cs="Times New Roman"/>
          <w:b/>
          <w:bCs/>
          <w:sz w:val="24"/>
          <w:szCs w:val="24"/>
          <w:lang w:val="en-GB"/>
        </w:rPr>
      </w:pPr>
    </w:p>
    <w:p w14:paraId="2BDE136E" w14:textId="77777777" w:rsidR="001C0AC6" w:rsidRDefault="001C0AC6" w:rsidP="003215F1">
      <w:pPr>
        <w:rPr>
          <w:rFonts w:ascii="Times New Roman" w:hAnsi="Times New Roman" w:cs="Times New Roman"/>
          <w:b/>
          <w:bCs/>
          <w:sz w:val="24"/>
          <w:szCs w:val="24"/>
          <w:lang w:val="en-GB"/>
        </w:rPr>
      </w:pPr>
    </w:p>
    <w:p w14:paraId="5FF26BDF" w14:textId="77777777" w:rsidR="001C0AC6" w:rsidRDefault="001C0AC6" w:rsidP="003215F1">
      <w:pPr>
        <w:rPr>
          <w:rFonts w:ascii="Times New Roman" w:hAnsi="Times New Roman" w:cs="Times New Roman"/>
          <w:b/>
          <w:bCs/>
          <w:sz w:val="24"/>
          <w:szCs w:val="24"/>
          <w:lang w:val="en-GB"/>
        </w:rPr>
      </w:pPr>
    </w:p>
    <w:p w14:paraId="7C9CFD00" w14:textId="77777777" w:rsidR="001C0AC6" w:rsidRDefault="001C0AC6" w:rsidP="003215F1">
      <w:pPr>
        <w:rPr>
          <w:rFonts w:ascii="Times New Roman" w:hAnsi="Times New Roman" w:cs="Times New Roman"/>
          <w:b/>
          <w:bCs/>
          <w:sz w:val="24"/>
          <w:szCs w:val="24"/>
          <w:lang w:val="en-GB"/>
        </w:rPr>
      </w:pPr>
    </w:p>
    <w:p w14:paraId="6C8F526F" w14:textId="72212533" w:rsidR="003215F1" w:rsidRPr="00A97FF9" w:rsidRDefault="003215F1" w:rsidP="003215F1">
      <w:pPr>
        <w:rPr>
          <w:rFonts w:ascii="Times New Roman" w:hAnsi="Times New Roman" w:cs="Times New Roman"/>
          <w:b/>
          <w:bCs/>
          <w:lang w:val="en-GB"/>
        </w:rPr>
      </w:pPr>
      <w:r w:rsidRPr="00A97FF9">
        <w:rPr>
          <w:rFonts w:ascii="Times New Roman" w:hAnsi="Times New Roman" w:cs="Times New Roman"/>
          <w:b/>
          <w:bCs/>
          <w:lang w:val="en-GB"/>
        </w:rPr>
        <w:lastRenderedPageBreak/>
        <w:t xml:space="preserve">Figure 4a. </w:t>
      </w:r>
      <w:r w:rsidR="00784A39" w:rsidRPr="00A97FF9">
        <w:rPr>
          <w:rFonts w:ascii="Times New Roman" w:hAnsi="Times New Roman" w:cs="Times New Roman"/>
          <w:b/>
          <w:bCs/>
          <w:lang w:val="en-GB"/>
        </w:rPr>
        <w:t>Unit labour cost</w:t>
      </w:r>
      <w:r w:rsidR="00BA42D6" w:rsidRPr="00A97FF9">
        <w:rPr>
          <w:rFonts w:ascii="Times New Roman" w:hAnsi="Times New Roman" w:cs="Times New Roman"/>
          <w:b/>
          <w:bCs/>
          <w:lang w:val="en-GB"/>
        </w:rPr>
        <w:t xml:space="preserve"> in national currency </w:t>
      </w:r>
      <w:r w:rsidRPr="00A97FF9">
        <w:rPr>
          <w:rFonts w:ascii="Times New Roman" w:hAnsi="Times New Roman" w:cs="Times New Roman"/>
          <w:b/>
          <w:bCs/>
          <w:lang w:val="en-GB"/>
        </w:rPr>
        <w:t>in manufacturing in the Nordic countries and the euro area, index</w:t>
      </w:r>
    </w:p>
    <w:p w14:paraId="66AC4040" w14:textId="77777777" w:rsidR="002A2DD8" w:rsidRPr="003215F1" w:rsidRDefault="002A2DD8" w:rsidP="002A2DD8">
      <w:pPr>
        <w:rPr>
          <w:lang w:val="en-GB"/>
        </w:rPr>
      </w:pPr>
    </w:p>
    <w:p w14:paraId="7929C517" w14:textId="77777777" w:rsidR="002A2DD8" w:rsidRDefault="002A2DD8" w:rsidP="002A2DD8">
      <w:r>
        <w:rPr>
          <w:noProof/>
        </w:rPr>
        <w:drawing>
          <wp:inline distT="0" distB="0" distL="0" distR="0" wp14:anchorId="74417887" wp14:editId="08C0D1D0">
            <wp:extent cx="5310366" cy="2971800"/>
            <wp:effectExtent l="0" t="0" r="5080" b="0"/>
            <wp:docPr id="1318528749" name="Diagram 1">
              <a:extLst xmlns:a="http://schemas.openxmlformats.org/drawingml/2006/main">
                <a:ext uri="{FF2B5EF4-FFF2-40B4-BE49-F238E27FC236}">
                  <a16:creationId xmlns:a16="http://schemas.microsoft.com/office/drawing/2014/main" id="{D9F66C76-507A-9560-FF13-9605C1609E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A187A6" w14:textId="77777777" w:rsidR="00645BC8" w:rsidRDefault="00645BC8" w:rsidP="00645BC8">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Note: See Figure 2b. </w:t>
      </w:r>
    </w:p>
    <w:p w14:paraId="78DE4694" w14:textId="630A6153" w:rsidR="00D80223" w:rsidRDefault="00D80223" w:rsidP="00645BC8">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Source: </w:t>
      </w:r>
      <w:r w:rsidR="00024C03">
        <w:rPr>
          <w:rFonts w:ascii="Times New Roman" w:hAnsi="Times New Roman" w:cs="Times New Roman"/>
          <w:sz w:val="20"/>
          <w:szCs w:val="20"/>
          <w:lang w:val="en-GB"/>
        </w:rPr>
        <w:t xml:space="preserve">Own calculations based on </w:t>
      </w:r>
      <w:r>
        <w:rPr>
          <w:rFonts w:ascii="Times New Roman" w:hAnsi="Times New Roman" w:cs="Times New Roman"/>
          <w:sz w:val="20"/>
          <w:szCs w:val="20"/>
          <w:lang w:val="en-GB"/>
        </w:rPr>
        <w:t>Eurostat.</w:t>
      </w:r>
    </w:p>
    <w:p w14:paraId="539098FF" w14:textId="77777777" w:rsidR="00414532" w:rsidRDefault="00414532" w:rsidP="002A2DD8">
      <w:pPr>
        <w:rPr>
          <w:b/>
          <w:bCs/>
          <w:lang w:val="en-US"/>
        </w:rPr>
      </w:pPr>
    </w:p>
    <w:p w14:paraId="43E01A74" w14:textId="636655C0" w:rsidR="00414532" w:rsidRPr="00A97FF9" w:rsidRDefault="00414532" w:rsidP="00414532">
      <w:pPr>
        <w:rPr>
          <w:rFonts w:ascii="Times New Roman" w:hAnsi="Times New Roman" w:cs="Times New Roman"/>
          <w:b/>
          <w:bCs/>
          <w:lang w:val="en-GB"/>
        </w:rPr>
      </w:pPr>
      <w:r w:rsidRPr="00A97FF9">
        <w:rPr>
          <w:rFonts w:ascii="Times New Roman" w:hAnsi="Times New Roman" w:cs="Times New Roman"/>
          <w:b/>
          <w:bCs/>
          <w:lang w:val="en-GB"/>
        </w:rPr>
        <w:t>Figure 4b. Unit labour cost in</w:t>
      </w:r>
      <w:r w:rsidR="00BA42D6" w:rsidRPr="00A97FF9">
        <w:rPr>
          <w:rFonts w:ascii="Times New Roman" w:hAnsi="Times New Roman" w:cs="Times New Roman"/>
          <w:b/>
          <w:bCs/>
          <w:lang w:val="en-GB"/>
        </w:rPr>
        <w:t xml:space="preserve"> </w:t>
      </w:r>
      <w:r w:rsidR="006676E5" w:rsidRPr="00A97FF9">
        <w:rPr>
          <w:rFonts w:ascii="Times New Roman" w:hAnsi="Times New Roman" w:cs="Times New Roman"/>
          <w:b/>
          <w:bCs/>
          <w:lang w:val="en-GB"/>
        </w:rPr>
        <w:t>euro</w:t>
      </w:r>
      <w:r w:rsidR="00A93672" w:rsidRPr="00A97FF9">
        <w:rPr>
          <w:rFonts w:ascii="Times New Roman" w:hAnsi="Times New Roman" w:cs="Times New Roman"/>
          <w:b/>
          <w:bCs/>
          <w:lang w:val="en-GB"/>
        </w:rPr>
        <w:t>s</w:t>
      </w:r>
      <w:r w:rsidR="00BA42D6" w:rsidRPr="00A97FF9">
        <w:rPr>
          <w:rFonts w:ascii="Times New Roman" w:hAnsi="Times New Roman" w:cs="Times New Roman"/>
          <w:b/>
          <w:bCs/>
          <w:lang w:val="en-GB"/>
        </w:rPr>
        <w:t xml:space="preserve"> in</w:t>
      </w:r>
      <w:r w:rsidRPr="00A97FF9">
        <w:rPr>
          <w:rFonts w:ascii="Times New Roman" w:hAnsi="Times New Roman" w:cs="Times New Roman"/>
          <w:b/>
          <w:bCs/>
          <w:lang w:val="en-GB"/>
        </w:rPr>
        <w:t xml:space="preserve"> manufacturing in the Nordic countries and the euro area, index</w:t>
      </w:r>
    </w:p>
    <w:p w14:paraId="00052CE4" w14:textId="77777777" w:rsidR="002A2DD8" w:rsidRDefault="002A2DD8" w:rsidP="002A2DD8">
      <w:r>
        <w:rPr>
          <w:noProof/>
        </w:rPr>
        <w:drawing>
          <wp:inline distT="0" distB="0" distL="0" distR="0" wp14:anchorId="070CEA8A" wp14:editId="14807E77">
            <wp:extent cx="5364154" cy="3086100"/>
            <wp:effectExtent l="0" t="0" r="8255" b="0"/>
            <wp:docPr id="2007766895" name="Diagram 1">
              <a:extLst xmlns:a="http://schemas.openxmlformats.org/drawingml/2006/main">
                <a:ext uri="{FF2B5EF4-FFF2-40B4-BE49-F238E27FC236}">
                  <a16:creationId xmlns:a16="http://schemas.microsoft.com/office/drawing/2014/main" id="{4B25E166-4C8D-9FAF-725A-6B67C53FF9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780A6C" w14:textId="77777777" w:rsidR="00D80223" w:rsidRDefault="00D80223" w:rsidP="00D80223">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Note: See Figure 2b. </w:t>
      </w:r>
    </w:p>
    <w:p w14:paraId="077762E0" w14:textId="19918CA8" w:rsidR="00D75917" w:rsidRDefault="00D75917" w:rsidP="00D80223">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Sou</w:t>
      </w:r>
      <w:r w:rsidR="009F51D9">
        <w:rPr>
          <w:rFonts w:ascii="Times New Roman" w:hAnsi="Times New Roman" w:cs="Times New Roman"/>
          <w:sz w:val="20"/>
          <w:szCs w:val="20"/>
          <w:lang w:val="en-GB"/>
        </w:rPr>
        <w:t xml:space="preserve">rce: </w:t>
      </w:r>
      <w:r w:rsidR="00DC5EDB">
        <w:rPr>
          <w:rFonts w:ascii="Times New Roman" w:hAnsi="Times New Roman" w:cs="Times New Roman"/>
          <w:sz w:val="20"/>
          <w:szCs w:val="20"/>
          <w:lang w:val="en-GB"/>
        </w:rPr>
        <w:t xml:space="preserve">Own calculations based on </w:t>
      </w:r>
      <w:r w:rsidR="009F51D9">
        <w:rPr>
          <w:rFonts w:ascii="Times New Roman" w:hAnsi="Times New Roman" w:cs="Times New Roman"/>
          <w:sz w:val="20"/>
          <w:szCs w:val="20"/>
          <w:lang w:val="en-GB"/>
        </w:rPr>
        <w:t>Eurostat and ECB.</w:t>
      </w:r>
    </w:p>
    <w:p w14:paraId="057DFA44" w14:textId="22438004" w:rsidR="001C3176" w:rsidRDefault="001C3176" w:rsidP="001C3176">
      <w:pPr>
        <w:pStyle w:val="Heading2"/>
        <w:rPr>
          <w:lang w:val="en-GB"/>
        </w:rPr>
      </w:pPr>
      <w:r>
        <w:rPr>
          <w:lang w:val="en-GB"/>
        </w:rPr>
        <w:lastRenderedPageBreak/>
        <w:t>4.5 Overall picture</w:t>
      </w:r>
    </w:p>
    <w:p w14:paraId="2DDCDD27" w14:textId="39CF9999" w:rsidR="003D55F9" w:rsidRDefault="00700A4A" w:rsidP="00BF531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644C6F">
        <w:rPr>
          <w:rFonts w:ascii="Times New Roman" w:hAnsi="Times New Roman" w:cs="Times New Roman"/>
          <w:sz w:val="24"/>
          <w:szCs w:val="24"/>
          <w:lang w:val="en-GB"/>
        </w:rPr>
        <w:t>above diagrams give an overall picture of wage</w:t>
      </w:r>
      <w:r w:rsidR="00FF7C90">
        <w:rPr>
          <w:rFonts w:ascii="Times New Roman" w:hAnsi="Times New Roman" w:cs="Times New Roman"/>
          <w:sz w:val="24"/>
          <w:szCs w:val="24"/>
          <w:lang w:val="en-GB"/>
        </w:rPr>
        <w:t xml:space="preserve"> cost</w:t>
      </w:r>
      <w:r w:rsidR="00644C6F">
        <w:rPr>
          <w:rFonts w:ascii="Times New Roman" w:hAnsi="Times New Roman" w:cs="Times New Roman"/>
          <w:sz w:val="24"/>
          <w:szCs w:val="24"/>
          <w:lang w:val="en-GB"/>
        </w:rPr>
        <w:t xml:space="preserve"> developments</w:t>
      </w:r>
      <w:r w:rsidR="00DC1C28">
        <w:rPr>
          <w:rFonts w:ascii="Times New Roman" w:hAnsi="Times New Roman" w:cs="Times New Roman"/>
          <w:sz w:val="24"/>
          <w:szCs w:val="24"/>
          <w:lang w:val="en-GB"/>
        </w:rPr>
        <w:t xml:space="preserve"> </w:t>
      </w:r>
      <w:r w:rsidR="00BF531D">
        <w:rPr>
          <w:rFonts w:ascii="Times New Roman" w:hAnsi="Times New Roman" w:cs="Times New Roman"/>
          <w:sz w:val="24"/>
          <w:szCs w:val="24"/>
          <w:lang w:val="en-GB"/>
        </w:rPr>
        <w:t xml:space="preserve">in line with </w:t>
      </w:r>
      <w:r w:rsidR="00C64EAA">
        <w:rPr>
          <w:rFonts w:ascii="Times New Roman" w:hAnsi="Times New Roman" w:cs="Times New Roman"/>
          <w:sz w:val="24"/>
          <w:szCs w:val="24"/>
          <w:lang w:val="en-GB"/>
        </w:rPr>
        <w:t>an unchanged</w:t>
      </w:r>
      <w:r w:rsidR="00633000">
        <w:rPr>
          <w:rFonts w:ascii="Times New Roman" w:hAnsi="Times New Roman" w:cs="Times New Roman"/>
          <w:sz w:val="24"/>
          <w:szCs w:val="24"/>
          <w:lang w:val="en-GB"/>
        </w:rPr>
        <w:t>, or even improved,</w:t>
      </w:r>
      <w:r w:rsidR="009E023F">
        <w:rPr>
          <w:rFonts w:ascii="Times New Roman" w:hAnsi="Times New Roman" w:cs="Times New Roman"/>
          <w:sz w:val="24"/>
          <w:szCs w:val="24"/>
          <w:lang w:val="en-GB"/>
        </w:rPr>
        <w:t xml:space="preserve"> </w:t>
      </w:r>
      <w:r w:rsidR="00881B97">
        <w:rPr>
          <w:rFonts w:ascii="Times New Roman" w:hAnsi="Times New Roman" w:cs="Times New Roman"/>
          <w:sz w:val="24"/>
          <w:szCs w:val="24"/>
          <w:lang w:val="en-GB"/>
        </w:rPr>
        <w:t xml:space="preserve">level of international competitiveness </w:t>
      </w:r>
      <w:r w:rsidR="006616BB">
        <w:rPr>
          <w:rFonts w:ascii="Times New Roman" w:hAnsi="Times New Roman" w:cs="Times New Roman"/>
          <w:sz w:val="24"/>
          <w:szCs w:val="24"/>
          <w:lang w:val="en-GB"/>
        </w:rPr>
        <w:t xml:space="preserve">over </w:t>
      </w:r>
      <w:r w:rsidR="00B50CF7">
        <w:rPr>
          <w:rFonts w:ascii="Times New Roman" w:hAnsi="Times New Roman" w:cs="Times New Roman"/>
          <w:sz w:val="24"/>
          <w:szCs w:val="24"/>
          <w:lang w:val="en-GB"/>
        </w:rPr>
        <w:t>the last two and a half decades</w:t>
      </w:r>
      <w:r w:rsidR="006616BB">
        <w:rPr>
          <w:rFonts w:ascii="Times New Roman" w:hAnsi="Times New Roman" w:cs="Times New Roman"/>
          <w:sz w:val="24"/>
          <w:szCs w:val="24"/>
          <w:lang w:val="en-GB"/>
        </w:rPr>
        <w:t xml:space="preserve"> in the Nordic countries. </w:t>
      </w:r>
      <w:r w:rsidR="009B2EA9">
        <w:rPr>
          <w:rFonts w:ascii="Times New Roman" w:hAnsi="Times New Roman" w:cs="Times New Roman"/>
          <w:sz w:val="24"/>
          <w:szCs w:val="24"/>
          <w:lang w:val="en-GB"/>
        </w:rPr>
        <w:t>The</w:t>
      </w:r>
      <w:r w:rsidR="00C155D0">
        <w:rPr>
          <w:rFonts w:ascii="Times New Roman" w:hAnsi="Times New Roman" w:cs="Times New Roman"/>
          <w:sz w:val="24"/>
          <w:szCs w:val="24"/>
          <w:lang w:val="en-GB"/>
        </w:rPr>
        <w:t xml:space="preserve">re have been only limited fluctuations in the </w:t>
      </w:r>
      <w:r w:rsidR="0076362B">
        <w:rPr>
          <w:rFonts w:ascii="Times New Roman" w:hAnsi="Times New Roman" w:cs="Times New Roman"/>
          <w:sz w:val="24"/>
          <w:szCs w:val="24"/>
          <w:lang w:val="en-GB"/>
        </w:rPr>
        <w:t xml:space="preserve">manufacturing </w:t>
      </w:r>
      <w:r w:rsidR="00C155D0">
        <w:rPr>
          <w:rFonts w:ascii="Times New Roman" w:hAnsi="Times New Roman" w:cs="Times New Roman"/>
          <w:sz w:val="24"/>
          <w:szCs w:val="24"/>
          <w:lang w:val="en-GB"/>
        </w:rPr>
        <w:t xml:space="preserve">wage share </w:t>
      </w:r>
      <w:r w:rsidR="00DA4552">
        <w:rPr>
          <w:rFonts w:ascii="Times New Roman" w:hAnsi="Times New Roman" w:cs="Times New Roman"/>
          <w:sz w:val="24"/>
          <w:szCs w:val="24"/>
          <w:lang w:val="en-GB"/>
        </w:rPr>
        <w:t xml:space="preserve">in Norway and Sweden. In Finland, there has been more variability, with a </w:t>
      </w:r>
      <w:r w:rsidR="00747F93">
        <w:rPr>
          <w:rFonts w:ascii="Times New Roman" w:hAnsi="Times New Roman" w:cs="Times New Roman"/>
          <w:sz w:val="24"/>
          <w:szCs w:val="24"/>
          <w:lang w:val="en-GB"/>
        </w:rPr>
        <w:t xml:space="preserve">large increase in 2008–12 followed by </w:t>
      </w:r>
      <w:r w:rsidR="00BB65BE">
        <w:rPr>
          <w:rFonts w:ascii="Times New Roman" w:hAnsi="Times New Roman" w:cs="Times New Roman"/>
          <w:sz w:val="24"/>
          <w:szCs w:val="24"/>
          <w:lang w:val="en-GB"/>
        </w:rPr>
        <w:t xml:space="preserve">an approximately </w:t>
      </w:r>
      <w:r w:rsidR="000C7982">
        <w:rPr>
          <w:rFonts w:ascii="Times New Roman" w:hAnsi="Times New Roman" w:cs="Times New Roman"/>
          <w:sz w:val="24"/>
          <w:szCs w:val="24"/>
          <w:lang w:val="en-GB"/>
        </w:rPr>
        <w:t>equally large</w:t>
      </w:r>
      <w:r w:rsidR="00F47B6B">
        <w:rPr>
          <w:rFonts w:ascii="Times New Roman" w:hAnsi="Times New Roman" w:cs="Times New Roman"/>
          <w:sz w:val="24"/>
          <w:szCs w:val="24"/>
          <w:lang w:val="en-GB"/>
        </w:rPr>
        <w:t xml:space="preserve"> decrease. </w:t>
      </w:r>
      <w:r w:rsidR="00662673">
        <w:rPr>
          <w:rFonts w:ascii="Times New Roman" w:hAnsi="Times New Roman" w:cs="Times New Roman"/>
          <w:sz w:val="24"/>
          <w:szCs w:val="24"/>
          <w:lang w:val="en-GB"/>
        </w:rPr>
        <w:t xml:space="preserve">The developments in </w:t>
      </w:r>
      <w:r w:rsidR="00404791">
        <w:rPr>
          <w:rFonts w:ascii="Times New Roman" w:hAnsi="Times New Roman" w:cs="Times New Roman"/>
          <w:sz w:val="24"/>
          <w:szCs w:val="24"/>
          <w:lang w:val="en-GB"/>
        </w:rPr>
        <w:t xml:space="preserve">those three countries thus </w:t>
      </w:r>
      <w:r w:rsidR="0086634B">
        <w:rPr>
          <w:rFonts w:ascii="Times New Roman" w:hAnsi="Times New Roman" w:cs="Times New Roman"/>
          <w:sz w:val="24"/>
          <w:szCs w:val="24"/>
          <w:lang w:val="en-GB"/>
        </w:rPr>
        <w:t xml:space="preserve">conform to the Scandinavian model. </w:t>
      </w:r>
      <w:r w:rsidR="00F47B6B">
        <w:rPr>
          <w:rFonts w:ascii="Times New Roman" w:hAnsi="Times New Roman" w:cs="Times New Roman"/>
          <w:sz w:val="24"/>
          <w:szCs w:val="24"/>
          <w:lang w:val="en-GB"/>
        </w:rPr>
        <w:t>In Denmark, there has</w:t>
      </w:r>
      <w:r w:rsidR="0086634B">
        <w:rPr>
          <w:rFonts w:ascii="Times New Roman" w:hAnsi="Times New Roman" w:cs="Times New Roman"/>
          <w:sz w:val="24"/>
          <w:szCs w:val="24"/>
          <w:lang w:val="en-GB"/>
        </w:rPr>
        <w:t>, however,</w:t>
      </w:r>
      <w:r w:rsidR="00F47B6B">
        <w:rPr>
          <w:rFonts w:ascii="Times New Roman" w:hAnsi="Times New Roman" w:cs="Times New Roman"/>
          <w:sz w:val="24"/>
          <w:szCs w:val="24"/>
          <w:lang w:val="en-GB"/>
        </w:rPr>
        <w:t xml:space="preserve"> been a trendwise decline in the wage share</w:t>
      </w:r>
      <w:r w:rsidR="0076362B">
        <w:rPr>
          <w:rFonts w:ascii="Times New Roman" w:hAnsi="Times New Roman" w:cs="Times New Roman"/>
          <w:sz w:val="24"/>
          <w:szCs w:val="24"/>
          <w:lang w:val="en-GB"/>
        </w:rPr>
        <w:t xml:space="preserve"> in manufacturing</w:t>
      </w:r>
      <w:r w:rsidR="0086634B">
        <w:rPr>
          <w:rFonts w:ascii="Times New Roman" w:hAnsi="Times New Roman" w:cs="Times New Roman"/>
          <w:sz w:val="24"/>
          <w:szCs w:val="24"/>
          <w:lang w:val="en-GB"/>
        </w:rPr>
        <w:t>.</w:t>
      </w:r>
      <w:r w:rsidR="006A08FC">
        <w:rPr>
          <w:rFonts w:ascii="Times New Roman" w:hAnsi="Times New Roman" w:cs="Times New Roman"/>
          <w:sz w:val="24"/>
          <w:szCs w:val="24"/>
          <w:lang w:val="en-GB"/>
        </w:rPr>
        <w:t xml:space="preserve"> In all four Nordic countries</w:t>
      </w:r>
      <w:r w:rsidR="00FF7C90">
        <w:rPr>
          <w:rFonts w:ascii="Times New Roman" w:hAnsi="Times New Roman" w:cs="Times New Roman"/>
          <w:sz w:val="24"/>
          <w:szCs w:val="24"/>
          <w:lang w:val="en-GB"/>
        </w:rPr>
        <w:t>,</w:t>
      </w:r>
      <w:r w:rsidR="006A08FC">
        <w:rPr>
          <w:rFonts w:ascii="Times New Roman" w:hAnsi="Times New Roman" w:cs="Times New Roman"/>
          <w:sz w:val="24"/>
          <w:szCs w:val="24"/>
          <w:lang w:val="en-GB"/>
        </w:rPr>
        <w:t xml:space="preserve"> </w:t>
      </w:r>
      <w:r w:rsidR="00FF7C90">
        <w:rPr>
          <w:rFonts w:ascii="Times New Roman" w:hAnsi="Times New Roman" w:cs="Times New Roman"/>
          <w:sz w:val="24"/>
          <w:szCs w:val="24"/>
          <w:lang w:val="en-GB"/>
        </w:rPr>
        <w:t xml:space="preserve">wage costs have not </w:t>
      </w:r>
      <w:r w:rsidR="00DC1C28">
        <w:rPr>
          <w:rFonts w:ascii="Times New Roman" w:hAnsi="Times New Roman" w:cs="Times New Roman"/>
          <w:sz w:val="24"/>
          <w:szCs w:val="24"/>
          <w:lang w:val="en-GB"/>
        </w:rPr>
        <w:t xml:space="preserve">kept up with price and </w:t>
      </w:r>
      <w:r w:rsidR="0076362B">
        <w:rPr>
          <w:rFonts w:ascii="Times New Roman" w:hAnsi="Times New Roman" w:cs="Times New Roman"/>
          <w:sz w:val="24"/>
          <w:szCs w:val="24"/>
          <w:lang w:val="en-GB"/>
        </w:rPr>
        <w:t>productivity increases</w:t>
      </w:r>
      <w:r w:rsidR="00323E34">
        <w:rPr>
          <w:rFonts w:ascii="Times New Roman" w:hAnsi="Times New Roman" w:cs="Times New Roman"/>
          <w:sz w:val="24"/>
          <w:szCs w:val="24"/>
          <w:lang w:val="en-GB"/>
        </w:rPr>
        <w:t xml:space="preserve"> during the </w:t>
      </w:r>
      <w:r w:rsidR="00E024F9">
        <w:rPr>
          <w:rFonts w:ascii="Times New Roman" w:hAnsi="Times New Roman" w:cs="Times New Roman"/>
          <w:sz w:val="24"/>
          <w:szCs w:val="24"/>
          <w:lang w:val="en-GB"/>
        </w:rPr>
        <w:t xml:space="preserve">recent inflation </w:t>
      </w:r>
      <w:r w:rsidR="00A32590">
        <w:rPr>
          <w:rFonts w:ascii="Times New Roman" w:hAnsi="Times New Roman" w:cs="Times New Roman"/>
          <w:sz w:val="24"/>
          <w:szCs w:val="24"/>
          <w:lang w:val="en-GB"/>
        </w:rPr>
        <w:t xml:space="preserve">period reflecting a substantial amount of wage moderation resulting in large real wage </w:t>
      </w:r>
      <w:r w:rsidR="00A41BA8">
        <w:rPr>
          <w:rFonts w:ascii="Times New Roman" w:hAnsi="Times New Roman" w:cs="Times New Roman"/>
          <w:sz w:val="24"/>
          <w:szCs w:val="24"/>
          <w:lang w:val="en-GB"/>
        </w:rPr>
        <w:t>declines</w:t>
      </w:r>
      <w:r w:rsidR="003739BC">
        <w:rPr>
          <w:rFonts w:ascii="Times New Roman" w:hAnsi="Times New Roman" w:cs="Times New Roman"/>
          <w:sz w:val="24"/>
          <w:szCs w:val="24"/>
          <w:lang w:val="en-GB"/>
        </w:rPr>
        <w:t>.</w:t>
      </w:r>
      <w:r w:rsidR="00F519D5">
        <w:rPr>
          <w:rFonts w:ascii="Times New Roman" w:hAnsi="Times New Roman" w:cs="Times New Roman"/>
          <w:sz w:val="24"/>
          <w:szCs w:val="24"/>
          <w:lang w:val="en-GB"/>
        </w:rPr>
        <w:t xml:space="preserve"> They have been the largest in Denmark and Sweden.</w:t>
      </w:r>
      <w:r w:rsidR="003739BC">
        <w:rPr>
          <w:rFonts w:ascii="Times New Roman" w:hAnsi="Times New Roman" w:cs="Times New Roman"/>
          <w:sz w:val="24"/>
          <w:szCs w:val="24"/>
          <w:lang w:val="en-GB"/>
        </w:rPr>
        <w:t xml:space="preserve"> </w:t>
      </w:r>
    </w:p>
    <w:p w14:paraId="14BCFDCE" w14:textId="545016EC" w:rsidR="008445E3" w:rsidRDefault="003739BC" w:rsidP="00BF531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Over the</w:t>
      </w:r>
      <w:r w:rsidR="005C548C">
        <w:rPr>
          <w:rFonts w:ascii="Times New Roman" w:hAnsi="Times New Roman" w:cs="Times New Roman"/>
          <w:sz w:val="24"/>
          <w:szCs w:val="24"/>
          <w:lang w:val="en-GB"/>
        </w:rPr>
        <w:t xml:space="preserve"> 2000–2023 period</w:t>
      </w:r>
      <w:r w:rsidR="002B37C3">
        <w:rPr>
          <w:rFonts w:ascii="Times New Roman" w:hAnsi="Times New Roman" w:cs="Times New Roman"/>
          <w:sz w:val="24"/>
          <w:szCs w:val="24"/>
          <w:lang w:val="en-GB"/>
        </w:rPr>
        <w:t xml:space="preserve"> as a whole, manufacturing </w:t>
      </w:r>
      <w:r w:rsidR="00FE6457">
        <w:rPr>
          <w:rFonts w:ascii="Times New Roman" w:hAnsi="Times New Roman" w:cs="Times New Roman"/>
          <w:sz w:val="24"/>
          <w:szCs w:val="24"/>
          <w:lang w:val="en-GB"/>
        </w:rPr>
        <w:t>wage costs</w:t>
      </w:r>
      <w:r w:rsidR="00C54550">
        <w:rPr>
          <w:rFonts w:ascii="Times New Roman" w:hAnsi="Times New Roman" w:cs="Times New Roman"/>
          <w:sz w:val="24"/>
          <w:szCs w:val="24"/>
          <w:lang w:val="en-GB"/>
        </w:rPr>
        <w:t xml:space="preserve"> in national currency</w:t>
      </w:r>
      <w:r w:rsidR="002B37C3">
        <w:rPr>
          <w:rFonts w:ascii="Times New Roman" w:hAnsi="Times New Roman" w:cs="Times New Roman"/>
          <w:sz w:val="24"/>
          <w:szCs w:val="24"/>
          <w:lang w:val="en-GB"/>
        </w:rPr>
        <w:t xml:space="preserve"> rose </w:t>
      </w:r>
      <w:r w:rsidR="00FE6457">
        <w:rPr>
          <w:rFonts w:ascii="Times New Roman" w:hAnsi="Times New Roman" w:cs="Times New Roman"/>
          <w:sz w:val="24"/>
          <w:szCs w:val="24"/>
          <w:lang w:val="en-GB"/>
        </w:rPr>
        <w:t>faster in all the Nordic countries than in the euro area, and especially so in Norway</w:t>
      </w:r>
      <w:r w:rsidR="00306623">
        <w:rPr>
          <w:rFonts w:ascii="Times New Roman" w:hAnsi="Times New Roman" w:cs="Times New Roman"/>
          <w:sz w:val="24"/>
          <w:szCs w:val="24"/>
          <w:lang w:val="en-GB"/>
        </w:rPr>
        <w:t xml:space="preserve">. But when measured in common currency, </w:t>
      </w:r>
      <w:r w:rsidR="00475884">
        <w:rPr>
          <w:rFonts w:ascii="Times New Roman" w:hAnsi="Times New Roman" w:cs="Times New Roman"/>
          <w:sz w:val="24"/>
          <w:szCs w:val="24"/>
          <w:lang w:val="en-GB"/>
        </w:rPr>
        <w:t xml:space="preserve">wage costs </w:t>
      </w:r>
      <w:r w:rsidR="008772D4">
        <w:rPr>
          <w:rFonts w:ascii="Times New Roman" w:hAnsi="Times New Roman" w:cs="Times New Roman"/>
          <w:sz w:val="24"/>
          <w:szCs w:val="24"/>
          <w:lang w:val="en-GB"/>
        </w:rPr>
        <w:t xml:space="preserve">in Sweden, and also in Norway, </w:t>
      </w:r>
      <w:r w:rsidR="00475884">
        <w:rPr>
          <w:rFonts w:ascii="Times New Roman" w:hAnsi="Times New Roman" w:cs="Times New Roman"/>
          <w:sz w:val="24"/>
          <w:szCs w:val="24"/>
          <w:lang w:val="en-GB"/>
        </w:rPr>
        <w:t>fell relative to those in the euro area.</w:t>
      </w:r>
      <w:r w:rsidR="000D3850">
        <w:rPr>
          <w:rFonts w:ascii="Times New Roman" w:hAnsi="Times New Roman" w:cs="Times New Roman"/>
          <w:sz w:val="24"/>
          <w:szCs w:val="24"/>
          <w:lang w:val="en-GB"/>
        </w:rPr>
        <w:t xml:space="preserve"> </w:t>
      </w:r>
      <w:r w:rsidR="009B0E3E">
        <w:rPr>
          <w:rFonts w:ascii="Times New Roman" w:hAnsi="Times New Roman" w:cs="Times New Roman"/>
          <w:sz w:val="24"/>
          <w:szCs w:val="24"/>
          <w:lang w:val="en-GB"/>
        </w:rPr>
        <w:t xml:space="preserve">This was a consequence of the large </w:t>
      </w:r>
      <w:r w:rsidR="00887720">
        <w:rPr>
          <w:rFonts w:ascii="Times New Roman" w:hAnsi="Times New Roman" w:cs="Times New Roman"/>
          <w:sz w:val="24"/>
          <w:szCs w:val="24"/>
          <w:lang w:val="en-GB"/>
        </w:rPr>
        <w:t>depreciations of the</w:t>
      </w:r>
      <w:r w:rsidR="00FC1EE7">
        <w:rPr>
          <w:rFonts w:ascii="Times New Roman" w:hAnsi="Times New Roman" w:cs="Times New Roman"/>
          <w:sz w:val="24"/>
          <w:szCs w:val="24"/>
          <w:lang w:val="en-GB"/>
        </w:rPr>
        <w:t xml:space="preserve"> Swedish and Norwegian currencies since 2013.</w:t>
      </w:r>
      <w:r w:rsidR="00900760">
        <w:rPr>
          <w:rFonts w:ascii="Times New Roman" w:hAnsi="Times New Roman" w:cs="Times New Roman"/>
          <w:sz w:val="24"/>
          <w:szCs w:val="24"/>
          <w:lang w:val="en-GB"/>
        </w:rPr>
        <w:t xml:space="preserve"> In terms </w:t>
      </w:r>
      <w:r w:rsidR="006A1A49">
        <w:rPr>
          <w:rFonts w:ascii="Times New Roman" w:hAnsi="Times New Roman" w:cs="Times New Roman"/>
          <w:sz w:val="24"/>
          <w:szCs w:val="24"/>
          <w:lang w:val="en-GB"/>
        </w:rPr>
        <w:t xml:space="preserve">of unit labour costs </w:t>
      </w:r>
      <w:r w:rsidR="00A17E00">
        <w:rPr>
          <w:rFonts w:ascii="Times New Roman" w:hAnsi="Times New Roman" w:cs="Times New Roman"/>
          <w:sz w:val="24"/>
          <w:szCs w:val="24"/>
          <w:lang w:val="en-GB"/>
        </w:rPr>
        <w:t xml:space="preserve">in common currency, there has been a </w:t>
      </w:r>
      <w:r w:rsidR="003862B9">
        <w:rPr>
          <w:rFonts w:ascii="Times New Roman" w:hAnsi="Times New Roman" w:cs="Times New Roman"/>
          <w:sz w:val="24"/>
          <w:szCs w:val="24"/>
          <w:lang w:val="en-GB"/>
        </w:rPr>
        <w:t>huge</w:t>
      </w:r>
      <w:r w:rsidR="00A17E00">
        <w:rPr>
          <w:rFonts w:ascii="Times New Roman" w:hAnsi="Times New Roman" w:cs="Times New Roman"/>
          <w:sz w:val="24"/>
          <w:szCs w:val="24"/>
          <w:lang w:val="en-GB"/>
        </w:rPr>
        <w:t xml:space="preserve"> fall relative to the euro area for Sweden</w:t>
      </w:r>
      <w:r w:rsidR="003862B9">
        <w:rPr>
          <w:rFonts w:ascii="Times New Roman" w:hAnsi="Times New Roman" w:cs="Times New Roman"/>
          <w:sz w:val="24"/>
          <w:szCs w:val="24"/>
          <w:lang w:val="en-GB"/>
        </w:rPr>
        <w:t>, but also substantial falls for Denmark and Norway</w:t>
      </w:r>
      <w:r w:rsidR="007831F3">
        <w:rPr>
          <w:rFonts w:ascii="Times New Roman" w:hAnsi="Times New Roman" w:cs="Times New Roman"/>
          <w:sz w:val="24"/>
          <w:szCs w:val="24"/>
          <w:lang w:val="en-GB"/>
        </w:rPr>
        <w:t>, depending partly on favourable productivity developments relative to the euro area.</w:t>
      </w:r>
      <w:r w:rsidR="00B80B3B">
        <w:rPr>
          <w:rStyle w:val="FootnoteReference"/>
          <w:rFonts w:ascii="Times New Roman" w:hAnsi="Times New Roman" w:cs="Times New Roman"/>
          <w:sz w:val="24"/>
          <w:szCs w:val="24"/>
          <w:lang w:val="en-GB"/>
        </w:rPr>
        <w:footnoteReference w:id="21"/>
      </w:r>
      <w:r w:rsidR="00887720">
        <w:rPr>
          <w:rFonts w:ascii="Times New Roman" w:hAnsi="Times New Roman" w:cs="Times New Roman"/>
          <w:sz w:val="24"/>
          <w:szCs w:val="24"/>
          <w:lang w:val="en-GB"/>
        </w:rPr>
        <w:t xml:space="preserve"> </w:t>
      </w:r>
    </w:p>
    <w:p w14:paraId="2877008B" w14:textId="6D64CC04" w:rsidR="00ED11A0" w:rsidRDefault="00172EA5" w:rsidP="00BF531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large trade </w:t>
      </w:r>
      <w:r w:rsidR="00C01AA1">
        <w:rPr>
          <w:rFonts w:ascii="Times New Roman" w:hAnsi="Times New Roman" w:cs="Times New Roman"/>
          <w:sz w:val="24"/>
          <w:szCs w:val="24"/>
          <w:lang w:val="en-GB"/>
        </w:rPr>
        <w:t>surpluses</w:t>
      </w:r>
      <w:r w:rsidR="005E3397">
        <w:rPr>
          <w:rFonts w:ascii="Times New Roman" w:hAnsi="Times New Roman" w:cs="Times New Roman"/>
          <w:sz w:val="24"/>
          <w:szCs w:val="24"/>
          <w:lang w:val="en-GB"/>
        </w:rPr>
        <w:t xml:space="preserve"> since the turn of the millennium</w:t>
      </w:r>
      <w:r w:rsidR="00C01AA1">
        <w:rPr>
          <w:rFonts w:ascii="Times New Roman" w:hAnsi="Times New Roman" w:cs="Times New Roman"/>
          <w:sz w:val="24"/>
          <w:szCs w:val="24"/>
          <w:lang w:val="en-GB"/>
        </w:rPr>
        <w:t xml:space="preserve"> in Denmark, Norway and Sweden </w:t>
      </w:r>
      <w:r w:rsidR="00BE080B">
        <w:rPr>
          <w:rFonts w:ascii="Times New Roman" w:hAnsi="Times New Roman" w:cs="Times New Roman"/>
          <w:sz w:val="24"/>
          <w:szCs w:val="24"/>
          <w:lang w:val="en-GB"/>
        </w:rPr>
        <w:t>can be taken as another indication of strong international competitiveness</w:t>
      </w:r>
      <w:r w:rsidR="0091378A">
        <w:rPr>
          <w:rFonts w:ascii="Times New Roman" w:hAnsi="Times New Roman" w:cs="Times New Roman"/>
          <w:sz w:val="24"/>
          <w:szCs w:val="24"/>
          <w:lang w:val="en-GB"/>
        </w:rPr>
        <w:t xml:space="preserve">, </w:t>
      </w:r>
      <w:r w:rsidR="00CD6EDD">
        <w:rPr>
          <w:rFonts w:ascii="Times New Roman" w:hAnsi="Times New Roman" w:cs="Times New Roman"/>
          <w:sz w:val="24"/>
          <w:szCs w:val="24"/>
          <w:lang w:val="en-GB"/>
        </w:rPr>
        <w:t xml:space="preserve">although </w:t>
      </w:r>
      <w:r w:rsidR="00073957">
        <w:rPr>
          <w:rFonts w:ascii="Times New Roman" w:hAnsi="Times New Roman" w:cs="Times New Roman"/>
          <w:sz w:val="24"/>
          <w:szCs w:val="24"/>
          <w:lang w:val="en-GB"/>
        </w:rPr>
        <w:t>t</w:t>
      </w:r>
      <w:r w:rsidR="00CD6EDD">
        <w:rPr>
          <w:rFonts w:ascii="Times New Roman" w:hAnsi="Times New Roman" w:cs="Times New Roman"/>
          <w:sz w:val="24"/>
          <w:szCs w:val="24"/>
          <w:lang w:val="en-GB"/>
        </w:rPr>
        <w:t>he situation is</w:t>
      </w:r>
      <w:r w:rsidR="00073957">
        <w:rPr>
          <w:rFonts w:ascii="Times New Roman" w:hAnsi="Times New Roman" w:cs="Times New Roman"/>
          <w:sz w:val="24"/>
          <w:szCs w:val="24"/>
          <w:lang w:val="en-GB"/>
        </w:rPr>
        <w:t>, of course</w:t>
      </w:r>
      <w:r w:rsidR="00CD6EDD">
        <w:rPr>
          <w:rFonts w:ascii="Times New Roman" w:hAnsi="Times New Roman" w:cs="Times New Roman"/>
          <w:sz w:val="24"/>
          <w:szCs w:val="24"/>
          <w:lang w:val="en-GB"/>
        </w:rPr>
        <w:t xml:space="preserve"> spec</w:t>
      </w:r>
      <w:r w:rsidR="00073957">
        <w:rPr>
          <w:rFonts w:ascii="Times New Roman" w:hAnsi="Times New Roman" w:cs="Times New Roman"/>
          <w:sz w:val="24"/>
          <w:szCs w:val="24"/>
          <w:lang w:val="en-GB"/>
        </w:rPr>
        <w:t xml:space="preserve">ial in </w:t>
      </w:r>
      <w:r w:rsidR="004721E1">
        <w:rPr>
          <w:rFonts w:ascii="Times New Roman" w:hAnsi="Times New Roman" w:cs="Times New Roman"/>
          <w:sz w:val="24"/>
          <w:szCs w:val="24"/>
          <w:lang w:val="en-GB"/>
        </w:rPr>
        <w:t>Norway</w:t>
      </w:r>
      <w:r w:rsidR="00073957">
        <w:rPr>
          <w:rFonts w:ascii="Times New Roman" w:hAnsi="Times New Roman" w:cs="Times New Roman"/>
          <w:sz w:val="24"/>
          <w:szCs w:val="24"/>
          <w:lang w:val="en-GB"/>
        </w:rPr>
        <w:t xml:space="preserve"> because of the </w:t>
      </w:r>
      <w:r w:rsidR="009D7C71">
        <w:rPr>
          <w:rFonts w:ascii="Times New Roman" w:hAnsi="Times New Roman" w:cs="Times New Roman"/>
          <w:sz w:val="24"/>
          <w:szCs w:val="24"/>
          <w:lang w:val="en-GB"/>
        </w:rPr>
        <w:t>peaking petroleum exports</w:t>
      </w:r>
      <w:r w:rsidR="0079287F">
        <w:rPr>
          <w:rFonts w:ascii="Times New Roman" w:hAnsi="Times New Roman" w:cs="Times New Roman"/>
          <w:sz w:val="24"/>
          <w:szCs w:val="24"/>
          <w:lang w:val="en-GB"/>
        </w:rPr>
        <w:t xml:space="preserve"> (see Table 2)</w:t>
      </w:r>
      <w:r w:rsidR="009D7C71">
        <w:rPr>
          <w:rFonts w:ascii="Times New Roman" w:hAnsi="Times New Roman" w:cs="Times New Roman"/>
          <w:sz w:val="24"/>
          <w:szCs w:val="24"/>
          <w:lang w:val="en-GB"/>
        </w:rPr>
        <w:t>.</w:t>
      </w:r>
      <w:r w:rsidR="0079287F">
        <w:rPr>
          <w:rFonts w:ascii="Times New Roman" w:hAnsi="Times New Roman" w:cs="Times New Roman"/>
          <w:sz w:val="24"/>
          <w:szCs w:val="24"/>
          <w:lang w:val="en-GB"/>
        </w:rPr>
        <w:t xml:space="preserve"> </w:t>
      </w:r>
      <w:r w:rsidR="00ED11A0">
        <w:rPr>
          <w:rFonts w:ascii="Times New Roman" w:hAnsi="Times New Roman" w:cs="Times New Roman"/>
          <w:sz w:val="24"/>
          <w:szCs w:val="24"/>
          <w:lang w:val="en-GB"/>
        </w:rPr>
        <w:t>Finland differs with small trade deficits in recent years.</w:t>
      </w:r>
    </w:p>
    <w:p w14:paraId="09096468" w14:textId="4B11FBF3" w:rsidR="00594C04" w:rsidRPr="00374784" w:rsidRDefault="0091378A" w:rsidP="0091378A">
      <w:pPr>
        <w:rPr>
          <w:rFonts w:ascii="Times New Roman" w:hAnsi="Times New Roman" w:cs="Times New Roman"/>
          <w:b/>
          <w:bCs/>
          <w:lang w:val="en-US"/>
        </w:rPr>
      </w:pPr>
      <w:r w:rsidRPr="00374784">
        <w:rPr>
          <w:rFonts w:ascii="Times New Roman" w:hAnsi="Times New Roman" w:cs="Times New Roman"/>
          <w:b/>
          <w:bCs/>
          <w:lang w:val="en-US"/>
        </w:rPr>
        <w:t>Table 2. Trade balance as a share of GDP in the Nordic countries</w:t>
      </w:r>
    </w:p>
    <w:tbl>
      <w:tblPr>
        <w:tblW w:w="7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2"/>
        <w:gridCol w:w="2267"/>
        <w:gridCol w:w="1692"/>
        <w:gridCol w:w="1692"/>
      </w:tblGrid>
      <w:tr w:rsidR="006D537C" w:rsidRPr="00374784" w14:paraId="3662280A" w14:textId="77777777" w:rsidTr="00C33034">
        <w:trPr>
          <w:trHeight w:val="342"/>
        </w:trPr>
        <w:tc>
          <w:tcPr>
            <w:tcW w:w="1692" w:type="dxa"/>
            <w:shd w:val="clear" w:color="auto" w:fill="auto"/>
            <w:noWrap/>
            <w:vAlign w:val="bottom"/>
            <w:hideMark/>
          </w:tcPr>
          <w:p w14:paraId="5759D7AC" w14:textId="77777777" w:rsidR="006D537C" w:rsidRPr="00374784" w:rsidRDefault="006D537C" w:rsidP="00C33034">
            <w:pPr>
              <w:spacing w:after="0" w:line="240" w:lineRule="auto"/>
              <w:rPr>
                <w:rFonts w:ascii="Times New Roman" w:eastAsia="Times New Roman" w:hAnsi="Times New Roman" w:cs="Times New Roman"/>
                <w:kern w:val="0"/>
                <w:lang w:val="en-GB" w:eastAsia="sv-SE"/>
                <w14:ligatures w14:val="none"/>
              </w:rPr>
            </w:pPr>
          </w:p>
        </w:tc>
        <w:tc>
          <w:tcPr>
            <w:tcW w:w="2267" w:type="dxa"/>
            <w:shd w:val="clear" w:color="auto" w:fill="auto"/>
            <w:noWrap/>
            <w:vAlign w:val="bottom"/>
            <w:hideMark/>
          </w:tcPr>
          <w:p w14:paraId="2CB3D16E" w14:textId="68781ABE" w:rsidR="006D537C" w:rsidRPr="005D58EE" w:rsidRDefault="006D537C" w:rsidP="00C33034">
            <w:pPr>
              <w:spacing w:after="0" w:line="240" w:lineRule="auto"/>
              <w:rPr>
                <w:rFonts w:ascii="Times New Roman" w:eastAsia="Times New Roman" w:hAnsi="Times New Roman" w:cs="Times New Roman"/>
                <w:i/>
                <w:iCs/>
                <w:color w:val="000000"/>
                <w:kern w:val="0"/>
                <w:lang w:eastAsia="sv-SE"/>
                <w14:ligatures w14:val="none"/>
              </w:rPr>
            </w:pPr>
            <w:r w:rsidRPr="005D58EE">
              <w:rPr>
                <w:rFonts w:ascii="Times New Roman" w:eastAsia="Times New Roman" w:hAnsi="Times New Roman" w:cs="Times New Roman"/>
                <w:i/>
                <w:iCs/>
                <w:color w:val="000000"/>
                <w:kern w:val="0"/>
                <w:lang w:eastAsia="sv-SE"/>
                <w14:ligatures w14:val="none"/>
              </w:rPr>
              <w:t>2000</w:t>
            </w:r>
            <w:r w:rsidR="003A41CD" w:rsidRPr="005D58EE">
              <w:rPr>
                <w:rFonts w:ascii="Times New Roman" w:eastAsia="Times New Roman" w:hAnsi="Times New Roman" w:cs="Times New Roman"/>
                <w:i/>
                <w:iCs/>
                <w:color w:val="000000"/>
                <w:kern w:val="0"/>
                <w:lang w:eastAsia="sv-SE"/>
                <w14:ligatures w14:val="none"/>
              </w:rPr>
              <w:t>–</w:t>
            </w:r>
            <w:r w:rsidRPr="005D58EE">
              <w:rPr>
                <w:rFonts w:ascii="Times New Roman" w:eastAsia="Times New Roman" w:hAnsi="Times New Roman" w:cs="Times New Roman"/>
                <w:i/>
                <w:iCs/>
                <w:color w:val="000000"/>
                <w:kern w:val="0"/>
                <w:lang w:eastAsia="sv-SE"/>
                <w14:ligatures w14:val="none"/>
              </w:rPr>
              <w:t>09</w:t>
            </w:r>
          </w:p>
        </w:tc>
        <w:tc>
          <w:tcPr>
            <w:tcW w:w="1692" w:type="dxa"/>
            <w:shd w:val="clear" w:color="auto" w:fill="auto"/>
            <w:noWrap/>
            <w:vAlign w:val="bottom"/>
            <w:hideMark/>
          </w:tcPr>
          <w:p w14:paraId="09762AAD" w14:textId="3D1DE1C4" w:rsidR="006D537C" w:rsidRPr="005D58EE" w:rsidRDefault="006D537C" w:rsidP="00C33034">
            <w:pPr>
              <w:spacing w:after="0" w:line="240" w:lineRule="auto"/>
              <w:rPr>
                <w:rFonts w:ascii="Times New Roman" w:eastAsia="Times New Roman" w:hAnsi="Times New Roman" w:cs="Times New Roman"/>
                <w:i/>
                <w:iCs/>
                <w:color w:val="000000"/>
                <w:kern w:val="0"/>
                <w:lang w:eastAsia="sv-SE"/>
                <w14:ligatures w14:val="none"/>
              </w:rPr>
            </w:pPr>
            <w:r w:rsidRPr="005D58EE">
              <w:rPr>
                <w:rFonts w:ascii="Times New Roman" w:eastAsia="Times New Roman" w:hAnsi="Times New Roman" w:cs="Times New Roman"/>
                <w:i/>
                <w:iCs/>
                <w:color w:val="000000"/>
                <w:kern w:val="0"/>
                <w:lang w:eastAsia="sv-SE"/>
                <w14:ligatures w14:val="none"/>
              </w:rPr>
              <w:t>2010</w:t>
            </w:r>
            <w:r w:rsidR="003A41CD" w:rsidRPr="005D58EE">
              <w:rPr>
                <w:rFonts w:ascii="Times New Roman" w:eastAsia="Times New Roman" w:hAnsi="Times New Roman" w:cs="Times New Roman"/>
                <w:i/>
                <w:iCs/>
                <w:color w:val="000000"/>
                <w:kern w:val="0"/>
                <w:lang w:eastAsia="sv-SE"/>
                <w14:ligatures w14:val="none"/>
              </w:rPr>
              <w:t>–</w:t>
            </w:r>
            <w:r w:rsidRPr="005D58EE">
              <w:rPr>
                <w:rFonts w:ascii="Times New Roman" w:eastAsia="Times New Roman" w:hAnsi="Times New Roman" w:cs="Times New Roman"/>
                <w:i/>
                <w:iCs/>
                <w:color w:val="000000"/>
                <w:kern w:val="0"/>
                <w:lang w:eastAsia="sv-SE"/>
                <w14:ligatures w14:val="none"/>
              </w:rPr>
              <w:t>19</w:t>
            </w:r>
          </w:p>
        </w:tc>
        <w:tc>
          <w:tcPr>
            <w:tcW w:w="1692" w:type="dxa"/>
            <w:shd w:val="clear" w:color="auto" w:fill="auto"/>
            <w:noWrap/>
            <w:vAlign w:val="bottom"/>
            <w:hideMark/>
          </w:tcPr>
          <w:p w14:paraId="154FEDCA" w14:textId="56285694" w:rsidR="006D537C" w:rsidRPr="005D58EE" w:rsidRDefault="006D537C" w:rsidP="00C33034">
            <w:pPr>
              <w:spacing w:after="0" w:line="240" w:lineRule="auto"/>
              <w:rPr>
                <w:rFonts w:ascii="Times New Roman" w:eastAsia="Times New Roman" w:hAnsi="Times New Roman" w:cs="Times New Roman"/>
                <w:i/>
                <w:iCs/>
                <w:color w:val="000000"/>
                <w:kern w:val="0"/>
                <w:lang w:eastAsia="sv-SE"/>
                <w14:ligatures w14:val="none"/>
              </w:rPr>
            </w:pPr>
            <w:r w:rsidRPr="005D58EE">
              <w:rPr>
                <w:rFonts w:ascii="Times New Roman" w:eastAsia="Times New Roman" w:hAnsi="Times New Roman" w:cs="Times New Roman"/>
                <w:i/>
                <w:iCs/>
                <w:color w:val="000000"/>
                <w:kern w:val="0"/>
                <w:lang w:eastAsia="sv-SE"/>
                <w14:ligatures w14:val="none"/>
              </w:rPr>
              <w:t>2020</w:t>
            </w:r>
            <w:r w:rsidR="003A41CD" w:rsidRPr="005D58EE">
              <w:rPr>
                <w:rFonts w:ascii="Times New Roman" w:eastAsia="Times New Roman" w:hAnsi="Times New Roman" w:cs="Times New Roman"/>
                <w:i/>
                <w:iCs/>
                <w:color w:val="000000"/>
                <w:kern w:val="0"/>
                <w:lang w:eastAsia="sv-SE"/>
                <w14:ligatures w14:val="none"/>
              </w:rPr>
              <w:t>–</w:t>
            </w:r>
            <w:r w:rsidRPr="005D58EE">
              <w:rPr>
                <w:rFonts w:ascii="Times New Roman" w:eastAsia="Times New Roman" w:hAnsi="Times New Roman" w:cs="Times New Roman"/>
                <w:i/>
                <w:iCs/>
                <w:color w:val="000000"/>
                <w:kern w:val="0"/>
                <w:lang w:eastAsia="sv-SE"/>
                <w14:ligatures w14:val="none"/>
              </w:rPr>
              <w:t>23</w:t>
            </w:r>
          </w:p>
        </w:tc>
      </w:tr>
      <w:tr w:rsidR="006D537C" w:rsidRPr="00374784" w14:paraId="5F4FD3DF" w14:textId="77777777" w:rsidTr="00C33034">
        <w:trPr>
          <w:trHeight w:val="342"/>
        </w:trPr>
        <w:tc>
          <w:tcPr>
            <w:tcW w:w="1692" w:type="dxa"/>
            <w:shd w:val="clear" w:color="auto" w:fill="auto"/>
            <w:noWrap/>
            <w:vAlign w:val="bottom"/>
            <w:hideMark/>
          </w:tcPr>
          <w:p w14:paraId="6EA6D050" w14:textId="77777777" w:rsidR="006D537C" w:rsidRPr="00374784" w:rsidRDefault="006D537C" w:rsidP="00C33034">
            <w:pPr>
              <w:spacing w:after="0" w:line="240" w:lineRule="auto"/>
              <w:rPr>
                <w:rFonts w:ascii="Times New Roman" w:eastAsia="Times New Roman" w:hAnsi="Times New Roman" w:cs="Times New Roman"/>
                <w:i/>
                <w:iCs/>
                <w:color w:val="000000"/>
                <w:kern w:val="0"/>
                <w:lang w:eastAsia="sv-SE"/>
                <w14:ligatures w14:val="none"/>
              </w:rPr>
            </w:pPr>
            <w:r w:rsidRPr="00374784">
              <w:rPr>
                <w:rFonts w:ascii="Times New Roman" w:eastAsia="Times New Roman" w:hAnsi="Times New Roman" w:cs="Times New Roman"/>
                <w:i/>
                <w:iCs/>
                <w:color w:val="000000"/>
                <w:kern w:val="0"/>
                <w:lang w:eastAsia="sv-SE"/>
                <w14:ligatures w14:val="none"/>
              </w:rPr>
              <w:t>Denmark</w:t>
            </w:r>
          </w:p>
        </w:tc>
        <w:tc>
          <w:tcPr>
            <w:tcW w:w="2267" w:type="dxa"/>
            <w:shd w:val="clear" w:color="auto" w:fill="auto"/>
            <w:noWrap/>
            <w:vAlign w:val="bottom"/>
            <w:hideMark/>
          </w:tcPr>
          <w:p w14:paraId="10926E3F" w14:textId="3CD713EB" w:rsidR="006D537C" w:rsidRPr="00374784" w:rsidRDefault="005F0128" w:rsidP="003A41CD">
            <w:pPr>
              <w:spacing w:after="0" w:line="240" w:lineRule="auto"/>
              <w:rPr>
                <w:rFonts w:ascii="Times New Roman" w:eastAsia="Times New Roman" w:hAnsi="Times New Roman" w:cs="Times New Roman"/>
                <w:color w:val="000000"/>
                <w:kern w:val="0"/>
                <w:sz w:val="20"/>
                <w:szCs w:val="20"/>
                <w:lang w:eastAsia="sv-SE"/>
                <w14:ligatures w14:val="none"/>
              </w:rPr>
            </w:pPr>
            <w:r w:rsidRPr="00374784">
              <w:rPr>
                <w:rFonts w:ascii="Times New Roman" w:hAnsi="Times New Roman" w:cs="Times New Roman"/>
                <w:color w:val="000000"/>
                <w:sz w:val="20"/>
                <w:szCs w:val="20"/>
              </w:rPr>
              <w:t xml:space="preserve"> </w:t>
            </w:r>
            <w:r w:rsidR="00597056" w:rsidRPr="00374784">
              <w:rPr>
                <w:rFonts w:ascii="Times New Roman" w:hAnsi="Times New Roman" w:cs="Times New Roman"/>
                <w:color w:val="000000"/>
                <w:sz w:val="20"/>
                <w:szCs w:val="20"/>
              </w:rPr>
              <w:t xml:space="preserve"> </w:t>
            </w:r>
            <w:r w:rsidR="006D537C" w:rsidRPr="00374784">
              <w:rPr>
                <w:rFonts w:ascii="Times New Roman" w:hAnsi="Times New Roman" w:cs="Times New Roman"/>
                <w:color w:val="000000"/>
                <w:sz w:val="20"/>
                <w:szCs w:val="20"/>
              </w:rPr>
              <w:t>4.8</w:t>
            </w:r>
          </w:p>
        </w:tc>
        <w:tc>
          <w:tcPr>
            <w:tcW w:w="1692" w:type="dxa"/>
            <w:shd w:val="clear" w:color="auto" w:fill="auto"/>
            <w:noWrap/>
            <w:vAlign w:val="bottom"/>
            <w:hideMark/>
          </w:tcPr>
          <w:p w14:paraId="5C9C30FD" w14:textId="0D0AB20E" w:rsidR="006D537C" w:rsidRPr="00374784" w:rsidRDefault="005F0128" w:rsidP="003A41CD">
            <w:pPr>
              <w:spacing w:after="0" w:line="240" w:lineRule="auto"/>
              <w:rPr>
                <w:rFonts w:ascii="Times New Roman" w:eastAsia="Times New Roman" w:hAnsi="Times New Roman" w:cs="Times New Roman"/>
                <w:color w:val="000000"/>
                <w:kern w:val="0"/>
                <w:sz w:val="20"/>
                <w:szCs w:val="20"/>
                <w:lang w:eastAsia="sv-SE"/>
                <w14:ligatures w14:val="none"/>
              </w:rPr>
            </w:pPr>
            <w:r w:rsidRPr="00374784">
              <w:rPr>
                <w:rFonts w:ascii="Times New Roman" w:hAnsi="Times New Roman" w:cs="Times New Roman"/>
                <w:color w:val="000000"/>
                <w:sz w:val="20"/>
                <w:szCs w:val="20"/>
              </w:rPr>
              <w:t xml:space="preserve"> </w:t>
            </w:r>
            <w:r w:rsidR="006D537C" w:rsidRPr="00374784">
              <w:rPr>
                <w:rFonts w:ascii="Times New Roman" w:hAnsi="Times New Roman" w:cs="Times New Roman"/>
                <w:color w:val="000000"/>
                <w:sz w:val="20"/>
                <w:szCs w:val="20"/>
              </w:rPr>
              <w:t>6.1</w:t>
            </w:r>
          </w:p>
        </w:tc>
        <w:tc>
          <w:tcPr>
            <w:tcW w:w="1692" w:type="dxa"/>
            <w:shd w:val="clear" w:color="auto" w:fill="auto"/>
            <w:noWrap/>
            <w:vAlign w:val="bottom"/>
            <w:hideMark/>
          </w:tcPr>
          <w:p w14:paraId="6F104C66" w14:textId="5578F1ED" w:rsidR="006D537C" w:rsidRPr="00374784" w:rsidRDefault="004B1D0E" w:rsidP="003A41CD">
            <w:pPr>
              <w:spacing w:after="0" w:line="240" w:lineRule="auto"/>
              <w:rPr>
                <w:rFonts w:ascii="Times New Roman" w:eastAsia="Times New Roman" w:hAnsi="Times New Roman" w:cs="Times New Roman"/>
                <w:color w:val="000000"/>
                <w:kern w:val="0"/>
                <w:sz w:val="20"/>
                <w:szCs w:val="20"/>
                <w:lang w:eastAsia="sv-SE"/>
                <w14:ligatures w14:val="none"/>
              </w:rPr>
            </w:pPr>
            <w:r w:rsidRPr="00374784">
              <w:rPr>
                <w:rFonts w:ascii="Times New Roman" w:hAnsi="Times New Roman" w:cs="Times New Roman"/>
                <w:color w:val="000000"/>
                <w:sz w:val="20"/>
                <w:szCs w:val="20"/>
              </w:rPr>
              <w:t xml:space="preserve"> </w:t>
            </w:r>
            <w:r w:rsidR="00597056" w:rsidRPr="00374784">
              <w:rPr>
                <w:rFonts w:ascii="Times New Roman" w:hAnsi="Times New Roman" w:cs="Times New Roman"/>
                <w:color w:val="000000"/>
                <w:sz w:val="20"/>
                <w:szCs w:val="20"/>
              </w:rPr>
              <w:t xml:space="preserve"> </w:t>
            </w:r>
            <w:r w:rsidR="006D537C" w:rsidRPr="00374784">
              <w:rPr>
                <w:rFonts w:ascii="Times New Roman" w:hAnsi="Times New Roman" w:cs="Times New Roman"/>
                <w:color w:val="000000"/>
                <w:sz w:val="20"/>
                <w:szCs w:val="20"/>
              </w:rPr>
              <w:t>7.5</w:t>
            </w:r>
          </w:p>
        </w:tc>
      </w:tr>
      <w:tr w:rsidR="006D537C" w:rsidRPr="00374784" w14:paraId="457FE02E" w14:textId="77777777" w:rsidTr="00C33034">
        <w:trPr>
          <w:trHeight w:val="342"/>
        </w:trPr>
        <w:tc>
          <w:tcPr>
            <w:tcW w:w="1692" w:type="dxa"/>
            <w:shd w:val="clear" w:color="auto" w:fill="auto"/>
            <w:noWrap/>
            <w:vAlign w:val="bottom"/>
            <w:hideMark/>
          </w:tcPr>
          <w:p w14:paraId="148004BB" w14:textId="77777777" w:rsidR="006D537C" w:rsidRPr="00374784" w:rsidRDefault="006D537C" w:rsidP="00C33034">
            <w:pPr>
              <w:spacing w:after="0" w:line="240" w:lineRule="auto"/>
              <w:rPr>
                <w:rFonts w:ascii="Times New Roman" w:eastAsia="Times New Roman" w:hAnsi="Times New Roman" w:cs="Times New Roman"/>
                <w:i/>
                <w:iCs/>
                <w:color w:val="000000"/>
                <w:kern w:val="0"/>
                <w:lang w:eastAsia="sv-SE"/>
                <w14:ligatures w14:val="none"/>
              </w:rPr>
            </w:pPr>
            <w:r w:rsidRPr="00374784">
              <w:rPr>
                <w:rFonts w:ascii="Times New Roman" w:eastAsia="Times New Roman" w:hAnsi="Times New Roman" w:cs="Times New Roman"/>
                <w:i/>
                <w:iCs/>
                <w:color w:val="000000"/>
                <w:kern w:val="0"/>
                <w:lang w:eastAsia="sv-SE"/>
                <w14:ligatures w14:val="none"/>
              </w:rPr>
              <w:t>Finland</w:t>
            </w:r>
          </w:p>
        </w:tc>
        <w:tc>
          <w:tcPr>
            <w:tcW w:w="2267" w:type="dxa"/>
            <w:shd w:val="clear" w:color="auto" w:fill="auto"/>
            <w:noWrap/>
            <w:vAlign w:val="bottom"/>
            <w:hideMark/>
          </w:tcPr>
          <w:p w14:paraId="0E4230EF" w14:textId="753CE982" w:rsidR="006D537C" w:rsidRPr="00374784" w:rsidRDefault="005F0128" w:rsidP="003A41CD">
            <w:pPr>
              <w:spacing w:after="0" w:line="240" w:lineRule="auto"/>
              <w:rPr>
                <w:rFonts w:ascii="Times New Roman" w:eastAsia="Times New Roman" w:hAnsi="Times New Roman" w:cs="Times New Roman"/>
                <w:color w:val="000000"/>
                <w:kern w:val="0"/>
                <w:sz w:val="20"/>
                <w:szCs w:val="20"/>
                <w:lang w:eastAsia="sv-SE"/>
                <w14:ligatures w14:val="none"/>
              </w:rPr>
            </w:pPr>
            <w:r w:rsidRPr="00374784">
              <w:rPr>
                <w:rFonts w:ascii="Times New Roman" w:hAnsi="Times New Roman" w:cs="Times New Roman"/>
                <w:color w:val="000000"/>
                <w:sz w:val="20"/>
                <w:szCs w:val="20"/>
              </w:rPr>
              <w:t xml:space="preserve"> </w:t>
            </w:r>
            <w:r w:rsidR="00597056" w:rsidRPr="00374784">
              <w:rPr>
                <w:rFonts w:ascii="Times New Roman" w:hAnsi="Times New Roman" w:cs="Times New Roman"/>
                <w:color w:val="000000"/>
                <w:sz w:val="20"/>
                <w:szCs w:val="20"/>
              </w:rPr>
              <w:t xml:space="preserve"> </w:t>
            </w:r>
            <w:r w:rsidR="006D537C" w:rsidRPr="00374784">
              <w:rPr>
                <w:rFonts w:ascii="Times New Roman" w:hAnsi="Times New Roman" w:cs="Times New Roman"/>
                <w:color w:val="000000"/>
                <w:sz w:val="20"/>
                <w:szCs w:val="20"/>
              </w:rPr>
              <w:t>5.7</w:t>
            </w:r>
          </w:p>
        </w:tc>
        <w:tc>
          <w:tcPr>
            <w:tcW w:w="1692" w:type="dxa"/>
            <w:shd w:val="clear" w:color="auto" w:fill="auto"/>
            <w:noWrap/>
            <w:vAlign w:val="bottom"/>
            <w:hideMark/>
          </w:tcPr>
          <w:p w14:paraId="1C5C00BE" w14:textId="27B64BF4" w:rsidR="006D537C" w:rsidRPr="00374784" w:rsidRDefault="006D537C" w:rsidP="003A41CD">
            <w:pPr>
              <w:spacing w:after="0" w:line="240" w:lineRule="auto"/>
              <w:rPr>
                <w:rFonts w:ascii="Times New Roman" w:eastAsia="Times New Roman" w:hAnsi="Times New Roman" w:cs="Times New Roman"/>
                <w:color w:val="000000"/>
                <w:kern w:val="0"/>
                <w:sz w:val="20"/>
                <w:szCs w:val="20"/>
                <w:lang w:eastAsia="sv-SE"/>
                <w14:ligatures w14:val="none"/>
              </w:rPr>
            </w:pPr>
            <w:r w:rsidRPr="00374784">
              <w:rPr>
                <w:rFonts w:ascii="Times New Roman" w:hAnsi="Times New Roman" w:cs="Times New Roman"/>
                <w:color w:val="000000"/>
                <w:sz w:val="20"/>
                <w:szCs w:val="20"/>
              </w:rPr>
              <w:t>-0.6</w:t>
            </w:r>
          </w:p>
        </w:tc>
        <w:tc>
          <w:tcPr>
            <w:tcW w:w="1692" w:type="dxa"/>
            <w:shd w:val="clear" w:color="auto" w:fill="auto"/>
            <w:noWrap/>
            <w:vAlign w:val="bottom"/>
            <w:hideMark/>
          </w:tcPr>
          <w:p w14:paraId="10952A2E" w14:textId="1BE6016B" w:rsidR="006D537C" w:rsidRPr="00374784" w:rsidRDefault="00597056" w:rsidP="005F0128">
            <w:pPr>
              <w:spacing w:after="0" w:line="240" w:lineRule="auto"/>
              <w:rPr>
                <w:rFonts w:ascii="Times New Roman" w:eastAsia="Times New Roman" w:hAnsi="Times New Roman" w:cs="Times New Roman"/>
                <w:color w:val="000000"/>
                <w:kern w:val="0"/>
                <w:sz w:val="20"/>
                <w:szCs w:val="20"/>
                <w:lang w:eastAsia="sv-SE"/>
                <w14:ligatures w14:val="none"/>
              </w:rPr>
            </w:pPr>
            <w:r w:rsidRPr="00374784">
              <w:rPr>
                <w:rFonts w:ascii="Times New Roman" w:hAnsi="Times New Roman" w:cs="Times New Roman"/>
                <w:color w:val="000000"/>
                <w:sz w:val="20"/>
                <w:szCs w:val="20"/>
              </w:rPr>
              <w:t xml:space="preserve"> </w:t>
            </w:r>
            <w:r w:rsidR="006D537C" w:rsidRPr="00374784">
              <w:rPr>
                <w:rFonts w:ascii="Times New Roman" w:hAnsi="Times New Roman" w:cs="Times New Roman"/>
                <w:color w:val="000000"/>
                <w:sz w:val="20"/>
                <w:szCs w:val="20"/>
              </w:rPr>
              <w:t>-0.</w:t>
            </w:r>
            <w:r w:rsidR="005F0128" w:rsidRPr="00374784">
              <w:rPr>
                <w:rFonts w:ascii="Times New Roman" w:hAnsi="Times New Roman" w:cs="Times New Roman"/>
                <w:color w:val="000000"/>
                <w:sz w:val="20"/>
                <w:szCs w:val="20"/>
              </w:rPr>
              <w:t>7</w:t>
            </w:r>
          </w:p>
        </w:tc>
      </w:tr>
      <w:tr w:rsidR="006D537C" w:rsidRPr="00374784" w14:paraId="35891BF5" w14:textId="77777777" w:rsidTr="00C33034">
        <w:trPr>
          <w:trHeight w:val="342"/>
        </w:trPr>
        <w:tc>
          <w:tcPr>
            <w:tcW w:w="1692" w:type="dxa"/>
            <w:shd w:val="clear" w:color="auto" w:fill="auto"/>
            <w:noWrap/>
            <w:vAlign w:val="bottom"/>
            <w:hideMark/>
          </w:tcPr>
          <w:p w14:paraId="55C82AC3" w14:textId="77777777" w:rsidR="006D537C" w:rsidRPr="00374784" w:rsidRDefault="006D537C" w:rsidP="00C33034">
            <w:pPr>
              <w:spacing w:after="0" w:line="240" w:lineRule="auto"/>
              <w:rPr>
                <w:rFonts w:ascii="Times New Roman" w:eastAsia="Times New Roman" w:hAnsi="Times New Roman" w:cs="Times New Roman"/>
                <w:i/>
                <w:iCs/>
                <w:color w:val="000000"/>
                <w:kern w:val="0"/>
                <w:lang w:eastAsia="sv-SE"/>
                <w14:ligatures w14:val="none"/>
              </w:rPr>
            </w:pPr>
            <w:r w:rsidRPr="00374784">
              <w:rPr>
                <w:rFonts w:ascii="Times New Roman" w:eastAsia="Times New Roman" w:hAnsi="Times New Roman" w:cs="Times New Roman"/>
                <w:i/>
                <w:iCs/>
                <w:color w:val="000000"/>
                <w:kern w:val="0"/>
                <w:lang w:eastAsia="sv-SE"/>
                <w14:ligatures w14:val="none"/>
              </w:rPr>
              <w:t>Sweden</w:t>
            </w:r>
          </w:p>
        </w:tc>
        <w:tc>
          <w:tcPr>
            <w:tcW w:w="2267" w:type="dxa"/>
            <w:shd w:val="clear" w:color="auto" w:fill="auto"/>
            <w:noWrap/>
            <w:vAlign w:val="bottom"/>
            <w:hideMark/>
          </w:tcPr>
          <w:p w14:paraId="7B1D63D0" w14:textId="6031E577" w:rsidR="006D537C" w:rsidRPr="00374784" w:rsidRDefault="004B1D0E" w:rsidP="004B1D0E">
            <w:pPr>
              <w:spacing w:after="0" w:line="240" w:lineRule="auto"/>
              <w:rPr>
                <w:rFonts w:ascii="Times New Roman" w:eastAsia="Times New Roman" w:hAnsi="Times New Roman" w:cs="Times New Roman"/>
                <w:color w:val="000000"/>
                <w:kern w:val="0"/>
                <w:sz w:val="20"/>
                <w:szCs w:val="20"/>
                <w:lang w:eastAsia="sv-SE"/>
                <w14:ligatures w14:val="none"/>
              </w:rPr>
            </w:pPr>
            <w:r w:rsidRPr="00374784">
              <w:rPr>
                <w:rFonts w:ascii="Times New Roman" w:hAnsi="Times New Roman" w:cs="Times New Roman"/>
                <w:color w:val="000000"/>
                <w:sz w:val="20"/>
                <w:szCs w:val="20"/>
              </w:rPr>
              <w:t xml:space="preserve"> </w:t>
            </w:r>
            <w:r w:rsidR="00597056" w:rsidRPr="00374784">
              <w:rPr>
                <w:rFonts w:ascii="Times New Roman" w:hAnsi="Times New Roman" w:cs="Times New Roman"/>
                <w:color w:val="000000"/>
                <w:sz w:val="20"/>
                <w:szCs w:val="20"/>
              </w:rPr>
              <w:t xml:space="preserve"> </w:t>
            </w:r>
            <w:r w:rsidR="006D537C" w:rsidRPr="00374784">
              <w:rPr>
                <w:rFonts w:ascii="Times New Roman" w:hAnsi="Times New Roman" w:cs="Times New Roman"/>
                <w:color w:val="000000"/>
                <w:sz w:val="20"/>
                <w:szCs w:val="20"/>
              </w:rPr>
              <w:t>6.1</w:t>
            </w:r>
          </w:p>
        </w:tc>
        <w:tc>
          <w:tcPr>
            <w:tcW w:w="1692" w:type="dxa"/>
            <w:shd w:val="clear" w:color="auto" w:fill="auto"/>
            <w:noWrap/>
            <w:vAlign w:val="bottom"/>
            <w:hideMark/>
          </w:tcPr>
          <w:p w14:paraId="318B0EC3" w14:textId="2223E33B" w:rsidR="006D537C" w:rsidRPr="00374784" w:rsidRDefault="00597056" w:rsidP="004B1D0E">
            <w:pPr>
              <w:spacing w:after="0" w:line="240" w:lineRule="auto"/>
              <w:rPr>
                <w:rFonts w:ascii="Times New Roman" w:eastAsia="Times New Roman" w:hAnsi="Times New Roman" w:cs="Times New Roman"/>
                <w:color w:val="000000"/>
                <w:kern w:val="0"/>
                <w:sz w:val="20"/>
                <w:szCs w:val="20"/>
                <w:lang w:eastAsia="sv-SE"/>
                <w14:ligatures w14:val="none"/>
              </w:rPr>
            </w:pPr>
            <w:r w:rsidRPr="00374784">
              <w:rPr>
                <w:rFonts w:ascii="Times New Roman" w:hAnsi="Times New Roman" w:cs="Times New Roman"/>
                <w:color w:val="000000"/>
                <w:sz w:val="20"/>
                <w:szCs w:val="20"/>
              </w:rPr>
              <w:t xml:space="preserve"> </w:t>
            </w:r>
            <w:r w:rsidR="006D537C" w:rsidRPr="00374784">
              <w:rPr>
                <w:rFonts w:ascii="Times New Roman" w:hAnsi="Times New Roman" w:cs="Times New Roman"/>
                <w:color w:val="000000"/>
                <w:sz w:val="20"/>
                <w:szCs w:val="20"/>
              </w:rPr>
              <w:t>3.</w:t>
            </w:r>
            <w:r w:rsidR="004B1D0E" w:rsidRPr="00374784">
              <w:rPr>
                <w:rFonts w:ascii="Times New Roman" w:hAnsi="Times New Roman" w:cs="Times New Roman"/>
                <w:color w:val="000000"/>
                <w:sz w:val="20"/>
                <w:szCs w:val="20"/>
              </w:rPr>
              <w:t>7</w:t>
            </w:r>
          </w:p>
        </w:tc>
        <w:tc>
          <w:tcPr>
            <w:tcW w:w="1692" w:type="dxa"/>
            <w:shd w:val="clear" w:color="auto" w:fill="auto"/>
            <w:noWrap/>
            <w:vAlign w:val="bottom"/>
            <w:hideMark/>
          </w:tcPr>
          <w:p w14:paraId="3EC20D68" w14:textId="61D1240F" w:rsidR="006D537C" w:rsidRPr="00374784" w:rsidRDefault="00597056" w:rsidP="00597056">
            <w:pPr>
              <w:spacing w:after="0" w:line="240" w:lineRule="auto"/>
              <w:rPr>
                <w:rFonts w:ascii="Times New Roman" w:eastAsia="Times New Roman" w:hAnsi="Times New Roman" w:cs="Times New Roman"/>
                <w:color w:val="000000"/>
                <w:kern w:val="0"/>
                <w:sz w:val="20"/>
                <w:szCs w:val="20"/>
                <w:lang w:eastAsia="sv-SE"/>
                <w14:ligatures w14:val="none"/>
              </w:rPr>
            </w:pPr>
            <w:r w:rsidRPr="00374784">
              <w:rPr>
                <w:rFonts w:ascii="Times New Roman" w:hAnsi="Times New Roman" w:cs="Times New Roman"/>
                <w:color w:val="000000"/>
                <w:sz w:val="20"/>
                <w:szCs w:val="20"/>
              </w:rPr>
              <w:t xml:space="preserve">  </w:t>
            </w:r>
            <w:r w:rsidR="006D537C" w:rsidRPr="00374784">
              <w:rPr>
                <w:rFonts w:ascii="Times New Roman" w:hAnsi="Times New Roman" w:cs="Times New Roman"/>
                <w:color w:val="000000"/>
                <w:sz w:val="20"/>
                <w:szCs w:val="20"/>
              </w:rPr>
              <w:t>3.9</w:t>
            </w:r>
          </w:p>
        </w:tc>
      </w:tr>
      <w:tr w:rsidR="006D537C" w:rsidRPr="00374784" w14:paraId="56BB2904" w14:textId="77777777" w:rsidTr="00C33034">
        <w:trPr>
          <w:trHeight w:val="342"/>
        </w:trPr>
        <w:tc>
          <w:tcPr>
            <w:tcW w:w="1692" w:type="dxa"/>
            <w:shd w:val="clear" w:color="auto" w:fill="auto"/>
            <w:noWrap/>
            <w:vAlign w:val="bottom"/>
            <w:hideMark/>
          </w:tcPr>
          <w:p w14:paraId="6802634A" w14:textId="77777777" w:rsidR="006D537C" w:rsidRPr="00374784" w:rsidRDefault="006D537C" w:rsidP="00C33034">
            <w:pPr>
              <w:spacing w:after="0" w:line="240" w:lineRule="auto"/>
              <w:rPr>
                <w:rFonts w:ascii="Times New Roman" w:eastAsia="Times New Roman" w:hAnsi="Times New Roman" w:cs="Times New Roman"/>
                <w:i/>
                <w:iCs/>
                <w:color w:val="000000"/>
                <w:kern w:val="0"/>
                <w:lang w:eastAsia="sv-SE"/>
                <w14:ligatures w14:val="none"/>
              </w:rPr>
            </w:pPr>
            <w:r w:rsidRPr="00374784">
              <w:rPr>
                <w:rFonts w:ascii="Times New Roman" w:eastAsia="Times New Roman" w:hAnsi="Times New Roman" w:cs="Times New Roman"/>
                <w:i/>
                <w:iCs/>
                <w:color w:val="000000"/>
                <w:kern w:val="0"/>
                <w:lang w:eastAsia="sv-SE"/>
                <w14:ligatures w14:val="none"/>
              </w:rPr>
              <w:t>Norway</w:t>
            </w:r>
          </w:p>
        </w:tc>
        <w:tc>
          <w:tcPr>
            <w:tcW w:w="2267" w:type="dxa"/>
            <w:shd w:val="clear" w:color="auto" w:fill="auto"/>
            <w:noWrap/>
            <w:vAlign w:val="bottom"/>
            <w:hideMark/>
          </w:tcPr>
          <w:p w14:paraId="3EA7ED31" w14:textId="069D6B81" w:rsidR="006D537C" w:rsidRPr="00374784" w:rsidRDefault="006D537C" w:rsidP="00597056">
            <w:pPr>
              <w:spacing w:after="0" w:line="240" w:lineRule="auto"/>
              <w:rPr>
                <w:rFonts w:ascii="Times New Roman" w:eastAsia="Times New Roman" w:hAnsi="Times New Roman" w:cs="Times New Roman"/>
                <w:color w:val="000000"/>
                <w:kern w:val="0"/>
                <w:sz w:val="20"/>
                <w:szCs w:val="20"/>
                <w:lang w:eastAsia="sv-SE"/>
                <w14:ligatures w14:val="none"/>
              </w:rPr>
            </w:pPr>
            <w:r w:rsidRPr="00374784">
              <w:rPr>
                <w:rFonts w:ascii="Times New Roman" w:hAnsi="Times New Roman" w:cs="Times New Roman"/>
                <w:color w:val="000000"/>
                <w:sz w:val="20"/>
                <w:szCs w:val="20"/>
              </w:rPr>
              <w:t>15.1</w:t>
            </w:r>
            <w:r w:rsidR="00597056" w:rsidRPr="00374784">
              <w:rPr>
                <w:rFonts w:ascii="Times New Roman" w:hAnsi="Times New Roman" w:cs="Times New Roman"/>
                <w:color w:val="000000"/>
                <w:sz w:val="20"/>
                <w:szCs w:val="20"/>
              </w:rPr>
              <w:t>2</w:t>
            </w:r>
          </w:p>
        </w:tc>
        <w:tc>
          <w:tcPr>
            <w:tcW w:w="1692" w:type="dxa"/>
            <w:shd w:val="clear" w:color="auto" w:fill="auto"/>
            <w:noWrap/>
            <w:vAlign w:val="bottom"/>
            <w:hideMark/>
          </w:tcPr>
          <w:p w14:paraId="4B434C70" w14:textId="6F4216FE" w:rsidR="006D537C" w:rsidRPr="00374784" w:rsidRDefault="00597056" w:rsidP="00597056">
            <w:pPr>
              <w:spacing w:after="0" w:line="240" w:lineRule="auto"/>
              <w:rPr>
                <w:rFonts w:ascii="Times New Roman" w:eastAsia="Times New Roman" w:hAnsi="Times New Roman" w:cs="Times New Roman"/>
                <w:color w:val="000000"/>
                <w:kern w:val="0"/>
                <w:sz w:val="20"/>
                <w:szCs w:val="20"/>
                <w:lang w:eastAsia="sv-SE"/>
                <w14:ligatures w14:val="none"/>
              </w:rPr>
            </w:pPr>
            <w:r w:rsidRPr="00374784">
              <w:rPr>
                <w:rFonts w:ascii="Times New Roman" w:hAnsi="Times New Roman" w:cs="Times New Roman"/>
                <w:color w:val="000000"/>
                <w:sz w:val="20"/>
                <w:szCs w:val="20"/>
              </w:rPr>
              <w:t xml:space="preserve"> </w:t>
            </w:r>
            <w:r w:rsidR="006D537C" w:rsidRPr="00374784">
              <w:rPr>
                <w:rFonts w:ascii="Times New Roman" w:hAnsi="Times New Roman" w:cs="Times New Roman"/>
                <w:color w:val="000000"/>
                <w:sz w:val="20"/>
                <w:szCs w:val="20"/>
              </w:rPr>
              <w:t>7.</w:t>
            </w:r>
            <w:r w:rsidRPr="00374784">
              <w:rPr>
                <w:rFonts w:ascii="Times New Roman" w:hAnsi="Times New Roman" w:cs="Times New Roman"/>
                <w:color w:val="000000"/>
                <w:sz w:val="20"/>
                <w:szCs w:val="20"/>
              </w:rPr>
              <w:t>3</w:t>
            </w:r>
          </w:p>
        </w:tc>
        <w:tc>
          <w:tcPr>
            <w:tcW w:w="1692" w:type="dxa"/>
            <w:shd w:val="clear" w:color="auto" w:fill="auto"/>
            <w:noWrap/>
            <w:vAlign w:val="bottom"/>
            <w:hideMark/>
          </w:tcPr>
          <w:p w14:paraId="6FD84425" w14:textId="370F75DF" w:rsidR="006D537C" w:rsidRPr="00374784" w:rsidRDefault="00B37E1B" w:rsidP="00597056">
            <w:pPr>
              <w:spacing w:after="0" w:line="240" w:lineRule="auto"/>
              <w:rPr>
                <w:rFonts w:ascii="Times New Roman" w:eastAsia="Times New Roman" w:hAnsi="Times New Roman" w:cs="Times New Roman"/>
                <w:color w:val="000000"/>
                <w:kern w:val="0"/>
                <w:sz w:val="20"/>
                <w:szCs w:val="20"/>
                <w:lang w:eastAsia="sv-SE"/>
                <w14:ligatures w14:val="none"/>
              </w:rPr>
            </w:pPr>
            <w:r>
              <w:rPr>
                <w:rFonts w:ascii="Times New Roman" w:hAnsi="Times New Roman" w:cs="Times New Roman"/>
                <w:color w:val="000000"/>
                <w:sz w:val="20"/>
                <w:szCs w:val="20"/>
              </w:rPr>
              <w:t xml:space="preserve"> </w:t>
            </w:r>
            <w:r w:rsidR="006D537C" w:rsidRPr="00374784">
              <w:rPr>
                <w:rFonts w:ascii="Times New Roman" w:hAnsi="Times New Roman" w:cs="Times New Roman"/>
                <w:color w:val="000000"/>
                <w:sz w:val="20"/>
                <w:szCs w:val="20"/>
              </w:rPr>
              <w:t>15.</w:t>
            </w:r>
            <w:r w:rsidR="00374784" w:rsidRPr="00374784">
              <w:rPr>
                <w:rFonts w:ascii="Times New Roman" w:hAnsi="Times New Roman" w:cs="Times New Roman"/>
                <w:color w:val="000000"/>
                <w:sz w:val="20"/>
                <w:szCs w:val="20"/>
              </w:rPr>
              <w:t>3</w:t>
            </w:r>
          </w:p>
        </w:tc>
      </w:tr>
    </w:tbl>
    <w:p w14:paraId="652155BE" w14:textId="77777777" w:rsidR="006D537C" w:rsidRDefault="006D537C" w:rsidP="006D537C">
      <w:pPr>
        <w:rPr>
          <w:lang w:val="en-US"/>
        </w:rPr>
      </w:pPr>
    </w:p>
    <w:p w14:paraId="0CCD2E7B" w14:textId="3CE69079" w:rsidR="006D537C" w:rsidRPr="005D58EE" w:rsidRDefault="006D537C" w:rsidP="006D537C">
      <w:pPr>
        <w:rPr>
          <w:rFonts w:ascii="Times New Roman" w:hAnsi="Times New Roman" w:cs="Times New Roman"/>
          <w:sz w:val="20"/>
          <w:szCs w:val="20"/>
          <w:lang w:val="en-US"/>
        </w:rPr>
      </w:pPr>
      <w:r w:rsidRPr="005D58EE">
        <w:rPr>
          <w:rFonts w:ascii="Times New Roman" w:hAnsi="Times New Roman" w:cs="Times New Roman"/>
          <w:sz w:val="20"/>
          <w:szCs w:val="20"/>
          <w:lang w:val="en-US"/>
        </w:rPr>
        <w:lastRenderedPageBreak/>
        <w:t>Source</w:t>
      </w:r>
      <w:r w:rsidR="005D58EE" w:rsidRPr="005D58EE">
        <w:rPr>
          <w:rFonts w:ascii="Times New Roman" w:hAnsi="Times New Roman" w:cs="Times New Roman"/>
          <w:sz w:val="20"/>
          <w:szCs w:val="20"/>
          <w:lang w:val="en-US"/>
        </w:rPr>
        <w:t>s</w:t>
      </w:r>
      <w:r w:rsidRPr="005D58EE">
        <w:rPr>
          <w:rFonts w:ascii="Times New Roman" w:hAnsi="Times New Roman" w:cs="Times New Roman"/>
          <w:sz w:val="20"/>
          <w:szCs w:val="20"/>
          <w:lang w:val="en-US"/>
        </w:rPr>
        <w:t>: Eurostat, Statistics Denmark</w:t>
      </w:r>
      <w:r w:rsidR="005D58EE" w:rsidRPr="005D58EE">
        <w:rPr>
          <w:rFonts w:ascii="Times New Roman" w:hAnsi="Times New Roman" w:cs="Times New Roman"/>
          <w:sz w:val="20"/>
          <w:szCs w:val="20"/>
          <w:lang w:val="en-US"/>
        </w:rPr>
        <w:t xml:space="preserve"> and Statistics Norway.</w:t>
      </w:r>
    </w:p>
    <w:p w14:paraId="299E7967" w14:textId="280A2696" w:rsidR="003739BC" w:rsidRDefault="00ED11A0" w:rsidP="00BF531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113666C5" w14:textId="3F617D51" w:rsidR="005923C5" w:rsidRPr="00FB77A7" w:rsidRDefault="000C7982" w:rsidP="00FB77A7">
      <w:pPr>
        <w:pStyle w:val="Heading1"/>
        <w:rPr>
          <w:rFonts w:ascii="Times New Roman" w:hAnsi="Times New Roman" w:cs="Times New Roman"/>
          <w:b/>
          <w:bCs/>
          <w:sz w:val="24"/>
          <w:szCs w:val="24"/>
          <w:lang w:val="en-GB"/>
        </w:rPr>
      </w:pPr>
      <w:r>
        <w:rPr>
          <w:lang w:val="en-GB"/>
        </w:rPr>
        <w:t>5</w:t>
      </w:r>
      <w:r w:rsidR="00E04E9E">
        <w:rPr>
          <w:lang w:val="en-GB"/>
        </w:rPr>
        <w:t xml:space="preserve"> </w:t>
      </w:r>
      <w:r w:rsidR="003F02AE">
        <w:rPr>
          <w:lang w:val="en-GB"/>
        </w:rPr>
        <w:t>Pattern bargaining and w</w:t>
      </w:r>
      <w:r w:rsidR="00031B27">
        <w:rPr>
          <w:lang w:val="en-GB"/>
        </w:rPr>
        <w:t xml:space="preserve">age restraint </w:t>
      </w:r>
    </w:p>
    <w:p w14:paraId="27F50D54" w14:textId="392B823F" w:rsidR="004329EE" w:rsidRDefault="005923C5" w:rsidP="00055AA3">
      <w:pPr>
        <w:spacing w:line="360" w:lineRule="auto"/>
        <w:jc w:val="both"/>
        <w:rPr>
          <w:rFonts w:ascii="Times New Roman" w:hAnsi="Times New Roman" w:cs="Times New Roman"/>
          <w:sz w:val="24"/>
          <w:szCs w:val="24"/>
          <w:lang w:val="en-GB"/>
        </w:rPr>
      </w:pPr>
      <w:r w:rsidRPr="00C67E2F">
        <w:rPr>
          <w:rFonts w:ascii="Times New Roman" w:hAnsi="Times New Roman" w:cs="Times New Roman"/>
          <w:sz w:val="24"/>
          <w:szCs w:val="24"/>
          <w:lang w:val="en-GB"/>
        </w:rPr>
        <w:t xml:space="preserve">A </w:t>
      </w:r>
      <w:r w:rsidR="00C67E2F">
        <w:rPr>
          <w:rFonts w:ascii="Times New Roman" w:hAnsi="Times New Roman" w:cs="Times New Roman"/>
          <w:sz w:val="24"/>
          <w:szCs w:val="24"/>
          <w:lang w:val="en-GB"/>
        </w:rPr>
        <w:t xml:space="preserve">common argument for </w:t>
      </w:r>
      <w:r w:rsidR="00911F11">
        <w:rPr>
          <w:rFonts w:ascii="Times New Roman" w:hAnsi="Times New Roman" w:cs="Times New Roman"/>
          <w:sz w:val="24"/>
          <w:szCs w:val="24"/>
          <w:lang w:val="en-GB"/>
        </w:rPr>
        <w:t xml:space="preserve">pattern </w:t>
      </w:r>
      <w:r w:rsidR="00200495">
        <w:rPr>
          <w:rFonts w:ascii="Times New Roman" w:hAnsi="Times New Roman" w:cs="Times New Roman"/>
          <w:sz w:val="24"/>
          <w:szCs w:val="24"/>
          <w:lang w:val="en-GB"/>
        </w:rPr>
        <w:t>setting</w:t>
      </w:r>
      <w:r w:rsidR="00842F9E">
        <w:rPr>
          <w:rFonts w:ascii="Times New Roman" w:hAnsi="Times New Roman" w:cs="Times New Roman"/>
          <w:sz w:val="24"/>
          <w:szCs w:val="24"/>
          <w:lang w:val="en-GB"/>
        </w:rPr>
        <w:t xml:space="preserve"> </w:t>
      </w:r>
      <w:r w:rsidR="00200495">
        <w:rPr>
          <w:rFonts w:ascii="Times New Roman" w:hAnsi="Times New Roman" w:cs="Times New Roman"/>
          <w:sz w:val="24"/>
          <w:szCs w:val="24"/>
          <w:lang w:val="en-GB"/>
        </w:rPr>
        <w:t xml:space="preserve">by </w:t>
      </w:r>
      <w:r w:rsidR="00842F9E">
        <w:rPr>
          <w:rFonts w:ascii="Times New Roman" w:hAnsi="Times New Roman" w:cs="Times New Roman"/>
          <w:sz w:val="24"/>
          <w:szCs w:val="24"/>
          <w:lang w:val="en-GB"/>
        </w:rPr>
        <w:t xml:space="preserve">the tradables sector </w:t>
      </w:r>
      <w:r w:rsidR="00C3655F">
        <w:rPr>
          <w:rFonts w:ascii="Times New Roman" w:hAnsi="Times New Roman" w:cs="Times New Roman"/>
          <w:sz w:val="24"/>
          <w:szCs w:val="24"/>
          <w:lang w:val="en-GB"/>
        </w:rPr>
        <w:t xml:space="preserve">is that this promotes wage </w:t>
      </w:r>
      <w:r w:rsidR="00055AA3">
        <w:rPr>
          <w:rFonts w:ascii="Times New Roman" w:hAnsi="Times New Roman" w:cs="Times New Roman"/>
          <w:sz w:val="24"/>
          <w:szCs w:val="24"/>
          <w:lang w:val="en-GB"/>
        </w:rPr>
        <w:t>moderation</w:t>
      </w:r>
      <w:r w:rsidR="00197382">
        <w:rPr>
          <w:rFonts w:ascii="Times New Roman" w:hAnsi="Times New Roman" w:cs="Times New Roman"/>
          <w:sz w:val="24"/>
          <w:szCs w:val="24"/>
          <w:lang w:val="en-GB"/>
        </w:rPr>
        <w:t xml:space="preserve"> </w:t>
      </w:r>
      <w:r w:rsidR="001219C0">
        <w:rPr>
          <w:rFonts w:ascii="Times New Roman" w:hAnsi="Times New Roman" w:cs="Times New Roman"/>
          <w:sz w:val="24"/>
          <w:szCs w:val="24"/>
          <w:lang w:val="en-GB"/>
        </w:rPr>
        <w:t>(</w:t>
      </w:r>
      <w:r w:rsidR="00197382">
        <w:rPr>
          <w:rFonts w:ascii="Times New Roman" w:hAnsi="Times New Roman" w:cs="Times New Roman"/>
          <w:sz w:val="24"/>
          <w:szCs w:val="24"/>
          <w:lang w:val="en-GB"/>
        </w:rPr>
        <w:t xml:space="preserve">e.g. </w:t>
      </w:r>
      <w:r w:rsidR="00D665EE">
        <w:rPr>
          <w:rFonts w:ascii="Times New Roman" w:hAnsi="Times New Roman" w:cs="Times New Roman"/>
          <w:sz w:val="24"/>
          <w:szCs w:val="24"/>
          <w:lang w:val="en-GB"/>
        </w:rPr>
        <w:t>Holden-IV</w:t>
      </w:r>
      <w:r w:rsidR="000761C0">
        <w:rPr>
          <w:rFonts w:ascii="Times New Roman" w:hAnsi="Times New Roman" w:cs="Times New Roman"/>
          <w:sz w:val="24"/>
          <w:szCs w:val="24"/>
          <w:lang w:val="en-GB"/>
        </w:rPr>
        <w:t xml:space="preserve"> utvalget 2023</w:t>
      </w:r>
      <w:r w:rsidR="00FA41B6">
        <w:rPr>
          <w:rFonts w:ascii="Times New Roman" w:hAnsi="Times New Roman" w:cs="Times New Roman"/>
          <w:sz w:val="24"/>
          <w:szCs w:val="24"/>
          <w:lang w:val="en-GB"/>
        </w:rPr>
        <w:t>;</w:t>
      </w:r>
      <w:r w:rsidR="00943922">
        <w:rPr>
          <w:rFonts w:ascii="Times New Roman" w:hAnsi="Times New Roman" w:cs="Times New Roman"/>
          <w:sz w:val="24"/>
          <w:szCs w:val="24"/>
          <w:lang w:val="en-GB"/>
        </w:rPr>
        <w:t xml:space="preserve"> </w:t>
      </w:r>
      <w:r w:rsidR="00943922" w:rsidRPr="00D033B7">
        <w:rPr>
          <w:rFonts w:ascii="Times New Roman" w:hAnsi="Times New Roman" w:cs="Times New Roman"/>
          <w:sz w:val="24"/>
          <w:szCs w:val="24"/>
          <w:lang w:val="en-GB"/>
        </w:rPr>
        <w:t>L</w:t>
      </w:r>
      <w:r w:rsidR="00D033B7" w:rsidRPr="00D033B7">
        <w:rPr>
          <w:rFonts w:ascii="Times New Roman" w:hAnsi="Times New Roman" w:cs="Times New Roman"/>
          <w:sz w:val="24"/>
          <w:szCs w:val="24"/>
          <w:lang w:val="en-GB"/>
        </w:rPr>
        <w:t>ønstrukturkomitéen</w:t>
      </w:r>
      <w:r w:rsidR="00D033B7">
        <w:rPr>
          <w:rFonts w:ascii="Times New Roman" w:hAnsi="Times New Roman" w:cs="Times New Roman"/>
          <w:sz w:val="24"/>
          <w:szCs w:val="24"/>
          <w:lang w:val="en-GB"/>
        </w:rPr>
        <w:t>, 2023;</w:t>
      </w:r>
      <w:r w:rsidR="000761C0">
        <w:rPr>
          <w:rFonts w:ascii="Times New Roman" w:hAnsi="Times New Roman" w:cs="Times New Roman"/>
          <w:sz w:val="24"/>
          <w:szCs w:val="24"/>
          <w:lang w:val="en-GB"/>
        </w:rPr>
        <w:t xml:space="preserve"> </w:t>
      </w:r>
      <w:r w:rsidR="00FA41B6">
        <w:rPr>
          <w:rFonts w:ascii="Times New Roman" w:hAnsi="Times New Roman" w:cs="Times New Roman"/>
          <w:sz w:val="24"/>
          <w:szCs w:val="24"/>
          <w:lang w:val="en-GB"/>
        </w:rPr>
        <w:t>Kuuskoski, 2024</w:t>
      </w:r>
      <w:r w:rsidR="00943922">
        <w:rPr>
          <w:rFonts w:ascii="Times New Roman" w:hAnsi="Times New Roman" w:cs="Times New Roman"/>
          <w:sz w:val="24"/>
          <w:szCs w:val="24"/>
          <w:lang w:val="en-GB"/>
        </w:rPr>
        <w:t xml:space="preserve">; </w:t>
      </w:r>
      <w:r w:rsidR="000761C0">
        <w:rPr>
          <w:rFonts w:ascii="Times New Roman" w:hAnsi="Times New Roman" w:cs="Times New Roman"/>
          <w:sz w:val="24"/>
          <w:szCs w:val="24"/>
          <w:lang w:val="en-GB"/>
        </w:rPr>
        <w:t>Medlingsinstitutet</w:t>
      </w:r>
      <w:r w:rsidR="00D033B7">
        <w:rPr>
          <w:rFonts w:ascii="Times New Roman" w:hAnsi="Times New Roman" w:cs="Times New Roman"/>
          <w:sz w:val="24"/>
          <w:szCs w:val="24"/>
          <w:lang w:val="en-GB"/>
        </w:rPr>
        <w:t xml:space="preserve">, </w:t>
      </w:r>
      <w:r w:rsidR="000761C0">
        <w:rPr>
          <w:rFonts w:ascii="Times New Roman" w:hAnsi="Times New Roman" w:cs="Times New Roman"/>
          <w:sz w:val="24"/>
          <w:szCs w:val="24"/>
          <w:lang w:val="en-GB"/>
        </w:rPr>
        <w:t>2024)</w:t>
      </w:r>
      <w:r w:rsidR="00055AA3">
        <w:rPr>
          <w:rFonts w:ascii="Times New Roman" w:hAnsi="Times New Roman" w:cs="Times New Roman"/>
          <w:sz w:val="24"/>
          <w:szCs w:val="24"/>
          <w:lang w:val="en-GB"/>
        </w:rPr>
        <w:t xml:space="preserve">. Below, both informal and formal </w:t>
      </w:r>
      <w:r w:rsidR="00F352A3">
        <w:rPr>
          <w:rFonts w:ascii="Times New Roman" w:hAnsi="Times New Roman" w:cs="Times New Roman"/>
          <w:sz w:val="24"/>
          <w:szCs w:val="24"/>
          <w:lang w:val="en-GB"/>
        </w:rPr>
        <w:t>analyses of this</w:t>
      </w:r>
      <w:r w:rsidR="004329EE">
        <w:rPr>
          <w:rFonts w:ascii="Times New Roman" w:hAnsi="Times New Roman" w:cs="Times New Roman"/>
          <w:sz w:val="24"/>
          <w:szCs w:val="24"/>
          <w:lang w:val="en-GB"/>
        </w:rPr>
        <w:t xml:space="preserve"> are </w:t>
      </w:r>
      <w:r w:rsidR="00F352A3">
        <w:rPr>
          <w:rFonts w:ascii="Times New Roman" w:hAnsi="Times New Roman" w:cs="Times New Roman"/>
          <w:sz w:val="24"/>
          <w:szCs w:val="24"/>
          <w:lang w:val="en-GB"/>
        </w:rPr>
        <w:t>reviewed</w:t>
      </w:r>
      <w:r w:rsidR="004329EE">
        <w:rPr>
          <w:rFonts w:ascii="Times New Roman" w:hAnsi="Times New Roman" w:cs="Times New Roman"/>
          <w:sz w:val="24"/>
          <w:szCs w:val="24"/>
          <w:lang w:val="en-GB"/>
        </w:rPr>
        <w:t>.</w:t>
      </w:r>
    </w:p>
    <w:p w14:paraId="4FF3A0F6" w14:textId="26738890" w:rsidR="00D64034" w:rsidRDefault="000C7982" w:rsidP="00D64034">
      <w:pPr>
        <w:pStyle w:val="Heading2"/>
        <w:rPr>
          <w:lang w:val="en-GB"/>
        </w:rPr>
      </w:pPr>
      <w:r>
        <w:rPr>
          <w:lang w:val="en-GB"/>
        </w:rPr>
        <w:t>5</w:t>
      </w:r>
      <w:r w:rsidR="004329EE">
        <w:rPr>
          <w:lang w:val="en-GB"/>
        </w:rPr>
        <w:t>.1 Informal reasoning</w:t>
      </w:r>
    </w:p>
    <w:p w14:paraId="3E872E8B" w14:textId="605B4081" w:rsidR="00245846" w:rsidRDefault="009254FB" w:rsidP="0043517E">
      <w:pPr>
        <w:spacing w:line="360" w:lineRule="auto"/>
        <w:jc w:val="both"/>
        <w:rPr>
          <w:rFonts w:ascii="Times New Roman" w:hAnsi="Times New Roman" w:cs="Times New Roman"/>
          <w:sz w:val="24"/>
          <w:szCs w:val="24"/>
          <w:lang w:val="en-GB"/>
        </w:rPr>
      </w:pPr>
      <w:r w:rsidRPr="00D64034">
        <w:rPr>
          <w:rFonts w:ascii="Times New Roman" w:hAnsi="Times New Roman" w:cs="Times New Roman"/>
          <w:sz w:val="24"/>
          <w:szCs w:val="24"/>
          <w:lang w:val="en-GB"/>
        </w:rPr>
        <w:t>The tradi</w:t>
      </w:r>
      <w:r w:rsidR="00CA74F3" w:rsidRPr="00D64034">
        <w:rPr>
          <w:rFonts w:ascii="Times New Roman" w:hAnsi="Times New Roman" w:cs="Times New Roman"/>
          <w:sz w:val="24"/>
          <w:szCs w:val="24"/>
          <w:lang w:val="en-GB"/>
        </w:rPr>
        <w:t xml:space="preserve">tional argument </w:t>
      </w:r>
      <w:r w:rsidR="002A571E" w:rsidRPr="00D64034">
        <w:rPr>
          <w:rFonts w:ascii="Times New Roman" w:hAnsi="Times New Roman" w:cs="Times New Roman"/>
          <w:sz w:val="24"/>
          <w:szCs w:val="24"/>
          <w:lang w:val="en-GB"/>
        </w:rPr>
        <w:t>for why wage leadership of the tradables sector is conduc</w:t>
      </w:r>
      <w:r w:rsidR="00ED3CE4" w:rsidRPr="00D64034">
        <w:rPr>
          <w:rFonts w:ascii="Times New Roman" w:hAnsi="Times New Roman" w:cs="Times New Roman"/>
          <w:sz w:val="24"/>
          <w:szCs w:val="24"/>
          <w:lang w:val="en-GB"/>
        </w:rPr>
        <w:t>ive to wage</w:t>
      </w:r>
      <w:r w:rsidR="00D64034" w:rsidRPr="00D64034">
        <w:rPr>
          <w:rFonts w:ascii="Times New Roman" w:hAnsi="Times New Roman" w:cs="Times New Roman"/>
          <w:sz w:val="24"/>
          <w:szCs w:val="24"/>
          <w:lang w:val="en-GB"/>
        </w:rPr>
        <w:t xml:space="preserve"> restraint</w:t>
      </w:r>
      <w:r w:rsidR="00A66F61">
        <w:rPr>
          <w:rFonts w:ascii="Times New Roman" w:hAnsi="Times New Roman" w:cs="Times New Roman"/>
          <w:sz w:val="24"/>
          <w:szCs w:val="24"/>
          <w:lang w:val="en-GB"/>
        </w:rPr>
        <w:t xml:space="preserve"> is that this sector is th</w:t>
      </w:r>
      <w:r w:rsidR="00EF1109">
        <w:rPr>
          <w:rFonts w:ascii="Times New Roman" w:hAnsi="Times New Roman" w:cs="Times New Roman"/>
          <w:sz w:val="24"/>
          <w:szCs w:val="24"/>
          <w:lang w:val="en-GB"/>
        </w:rPr>
        <w:t>e one most hurt by excessive wage increases</w:t>
      </w:r>
      <w:r w:rsidR="00CB5F5F">
        <w:rPr>
          <w:rFonts w:ascii="Times New Roman" w:hAnsi="Times New Roman" w:cs="Times New Roman"/>
          <w:sz w:val="24"/>
          <w:szCs w:val="24"/>
          <w:lang w:val="en-GB"/>
        </w:rPr>
        <w:t xml:space="preserve"> (Aukrust, 1977)</w:t>
      </w:r>
      <w:r w:rsidR="00EF1109">
        <w:rPr>
          <w:rFonts w:ascii="Times New Roman" w:hAnsi="Times New Roman" w:cs="Times New Roman"/>
          <w:sz w:val="24"/>
          <w:szCs w:val="24"/>
          <w:lang w:val="en-GB"/>
        </w:rPr>
        <w:t>.</w:t>
      </w:r>
      <w:r w:rsidR="0047459A">
        <w:rPr>
          <w:rFonts w:ascii="Times New Roman" w:hAnsi="Times New Roman" w:cs="Times New Roman"/>
          <w:sz w:val="24"/>
          <w:szCs w:val="24"/>
          <w:lang w:val="en-GB"/>
        </w:rPr>
        <w:t xml:space="preserve"> The reasoning </w:t>
      </w:r>
      <w:r w:rsidR="00EB5CFF">
        <w:rPr>
          <w:rFonts w:ascii="Times New Roman" w:hAnsi="Times New Roman" w:cs="Times New Roman"/>
          <w:sz w:val="24"/>
          <w:szCs w:val="24"/>
          <w:lang w:val="en-GB"/>
        </w:rPr>
        <w:t>is</w:t>
      </w:r>
      <w:r w:rsidR="00060551">
        <w:rPr>
          <w:rFonts w:ascii="Times New Roman" w:hAnsi="Times New Roman" w:cs="Times New Roman"/>
          <w:sz w:val="24"/>
          <w:szCs w:val="24"/>
          <w:lang w:val="en-GB"/>
        </w:rPr>
        <w:t xml:space="preserve"> obvious </w:t>
      </w:r>
      <w:r w:rsidR="00C72142">
        <w:rPr>
          <w:rFonts w:ascii="Times New Roman" w:hAnsi="Times New Roman" w:cs="Times New Roman"/>
          <w:sz w:val="24"/>
          <w:szCs w:val="24"/>
          <w:lang w:val="en-GB"/>
        </w:rPr>
        <w:t>under a fixed exchange rate</w:t>
      </w:r>
      <w:r w:rsidR="00060551">
        <w:rPr>
          <w:rFonts w:ascii="Times New Roman" w:hAnsi="Times New Roman" w:cs="Times New Roman"/>
          <w:sz w:val="24"/>
          <w:szCs w:val="24"/>
          <w:lang w:val="en-GB"/>
        </w:rPr>
        <w:t>.</w:t>
      </w:r>
      <w:r w:rsidR="00DE584D">
        <w:rPr>
          <w:rFonts w:ascii="Times New Roman" w:hAnsi="Times New Roman" w:cs="Times New Roman"/>
          <w:sz w:val="24"/>
          <w:szCs w:val="24"/>
          <w:lang w:val="en-GB"/>
        </w:rPr>
        <w:t xml:space="preserve"> Since </w:t>
      </w:r>
      <w:r w:rsidR="00C6600A">
        <w:rPr>
          <w:rFonts w:ascii="Times New Roman" w:hAnsi="Times New Roman" w:cs="Times New Roman"/>
          <w:sz w:val="24"/>
          <w:szCs w:val="24"/>
          <w:lang w:val="en-GB"/>
        </w:rPr>
        <w:t xml:space="preserve">foreign competition </w:t>
      </w:r>
      <w:r w:rsidR="00162D1E">
        <w:rPr>
          <w:rFonts w:ascii="Times New Roman" w:hAnsi="Times New Roman" w:cs="Times New Roman"/>
          <w:sz w:val="24"/>
          <w:szCs w:val="24"/>
          <w:lang w:val="en-GB"/>
        </w:rPr>
        <w:t xml:space="preserve">makes it difficult to shift wage increases </w:t>
      </w:r>
      <w:r w:rsidR="00F61635">
        <w:rPr>
          <w:rFonts w:ascii="Times New Roman" w:hAnsi="Times New Roman" w:cs="Times New Roman"/>
          <w:sz w:val="24"/>
          <w:szCs w:val="24"/>
          <w:lang w:val="en-GB"/>
        </w:rPr>
        <w:t>on to prices</w:t>
      </w:r>
      <w:r w:rsidR="00D20C88">
        <w:rPr>
          <w:rFonts w:ascii="Times New Roman" w:hAnsi="Times New Roman" w:cs="Times New Roman"/>
          <w:sz w:val="24"/>
          <w:szCs w:val="24"/>
          <w:lang w:val="en-GB"/>
        </w:rPr>
        <w:t xml:space="preserve"> </w:t>
      </w:r>
      <w:r w:rsidR="00F84718">
        <w:rPr>
          <w:rFonts w:ascii="Times New Roman" w:hAnsi="Times New Roman" w:cs="Times New Roman"/>
          <w:sz w:val="24"/>
          <w:szCs w:val="24"/>
          <w:lang w:val="en-GB"/>
        </w:rPr>
        <w:t>in the tradables sector</w:t>
      </w:r>
      <w:r w:rsidR="00D20C88">
        <w:rPr>
          <w:rFonts w:ascii="Times New Roman" w:hAnsi="Times New Roman" w:cs="Times New Roman"/>
          <w:sz w:val="24"/>
          <w:szCs w:val="24"/>
          <w:lang w:val="en-GB"/>
        </w:rPr>
        <w:t xml:space="preserve">, </w:t>
      </w:r>
      <w:r w:rsidR="002D7B57">
        <w:rPr>
          <w:rFonts w:ascii="Times New Roman" w:hAnsi="Times New Roman" w:cs="Times New Roman"/>
          <w:sz w:val="24"/>
          <w:szCs w:val="24"/>
          <w:lang w:val="en-GB"/>
        </w:rPr>
        <w:t>it has</w:t>
      </w:r>
      <w:r w:rsidR="004F43E6">
        <w:rPr>
          <w:rFonts w:ascii="Times New Roman" w:hAnsi="Times New Roman" w:cs="Times New Roman"/>
          <w:sz w:val="24"/>
          <w:szCs w:val="24"/>
          <w:lang w:val="en-GB"/>
        </w:rPr>
        <w:t xml:space="preserve"> a strong incentive for wage restraint as </w:t>
      </w:r>
      <w:r w:rsidR="00BA0C2C">
        <w:rPr>
          <w:rFonts w:ascii="Times New Roman" w:hAnsi="Times New Roman" w:cs="Times New Roman"/>
          <w:sz w:val="24"/>
          <w:szCs w:val="24"/>
          <w:lang w:val="en-GB"/>
        </w:rPr>
        <w:t>t</w:t>
      </w:r>
      <w:r w:rsidR="008D174A">
        <w:rPr>
          <w:rFonts w:ascii="Times New Roman" w:hAnsi="Times New Roman" w:cs="Times New Roman"/>
          <w:sz w:val="24"/>
          <w:szCs w:val="24"/>
          <w:lang w:val="en-GB"/>
        </w:rPr>
        <w:t>her</w:t>
      </w:r>
      <w:r w:rsidR="00BA0C2C">
        <w:rPr>
          <w:rFonts w:ascii="Times New Roman" w:hAnsi="Times New Roman" w:cs="Times New Roman"/>
          <w:sz w:val="24"/>
          <w:szCs w:val="24"/>
          <w:lang w:val="en-GB"/>
        </w:rPr>
        <w:t>e would ot</w:t>
      </w:r>
      <w:r w:rsidR="008D174A">
        <w:rPr>
          <w:rFonts w:ascii="Times New Roman" w:hAnsi="Times New Roman" w:cs="Times New Roman"/>
          <w:sz w:val="24"/>
          <w:szCs w:val="24"/>
          <w:lang w:val="en-GB"/>
        </w:rPr>
        <w:t>her</w:t>
      </w:r>
      <w:r w:rsidR="00BA0C2C">
        <w:rPr>
          <w:rFonts w:ascii="Times New Roman" w:hAnsi="Times New Roman" w:cs="Times New Roman"/>
          <w:sz w:val="24"/>
          <w:szCs w:val="24"/>
          <w:lang w:val="en-GB"/>
        </w:rPr>
        <w:t xml:space="preserve">wise be large </w:t>
      </w:r>
      <w:r w:rsidR="0018306A">
        <w:rPr>
          <w:rFonts w:ascii="Times New Roman" w:hAnsi="Times New Roman" w:cs="Times New Roman"/>
          <w:sz w:val="24"/>
          <w:szCs w:val="24"/>
          <w:lang w:val="en-GB"/>
        </w:rPr>
        <w:t>adverse</w:t>
      </w:r>
      <w:r w:rsidR="008C6758">
        <w:rPr>
          <w:rFonts w:ascii="Times New Roman" w:hAnsi="Times New Roman" w:cs="Times New Roman"/>
          <w:sz w:val="24"/>
          <w:szCs w:val="24"/>
          <w:lang w:val="en-GB"/>
        </w:rPr>
        <w:t xml:space="preserve"> </w:t>
      </w:r>
      <w:r w:rsidR="00BA0C2C">
        <w:rPr>
          <w:rFonts w:ascii="Times New Roman" w:hAnsi="Times New Roman" w:cs="Times New Roman"/>
          <w:sz w:val="24"/>
          <w:szCs w:val="24"/>
          <w:lang w:val="en-GB"/>
        </w:rPr>
        <w:t xml:space="preserve">effects on </w:t>
      </w:r>
      <w:r w:rsidR="00091E6E">
        <w:rPr>
          <w:rFonts w:ascii="Times New Roman" w:hAnsi="Times New Roman" w:cs="Times New Roman"/>
          <w:sz w:val="24"/>
          <w:szCs w:val="24"/>
          <w:lang w:val="en-GB"/>
        </w:rPr>
        <w:t>prof</w:t>
      </w:r>
      <w:r w:rsidR="002D7B57">
        <w:rPr>
          <w:rFonts w:ascii="Times New Roman" w:hAnsi="Times New Roman" w:cs="Times New Roman"/>
          <w:sz w:val="24"/>
          <w:szCs w:val="24"/>
          <w:lang w:val="en-GB"/>
        </w:rPr>
        <w:t>its</w:t>
      </w:r>
      <w:r w:rsidR="00091E6E">
        <w:rPr>
          <w:rFonts w:ascii="Times New Roman" w:hAnsi="Times New Roman" w:cs="Times New Roman"/>
          <w:sz w:val="24"/>
          <w:szCs w:val="24"/>
          <w:lang w:val="en-GB"/>
        </w:rPr>
        <w:t xml:space="preserve"> and employment</w:t>
      </w:r>
      <w:r w:rsidR="00A23744">
        <w:rPr>
          <w:rFonts w:ascii="Times New Roman" w:hAnsi="Times New Roman" w:cs="Times New Roman"/>
          <w:sz w:val="24"/>
          <w:szCs w:val="24"/>
          <w:lang w:val="en-GB"/>
        </w:rPr>
        <w:t xml:space="preserve">. In contrast, the </w:t>
      </w:r>
      <w:r w:rsidR="00196AFC">
        <w:rPr>
          <w:rFonts w:ascii="Times New Roman" w:hAnsi="Times New Roman" w:cs="Times New Roman"/>
          <w:sz w:val="24"/>
          <w:szCs w:val="24"/>
          <w:lang w:val="en-GB"/>
        </w:rPr>
        <w:t xml:space="preserve">negative </w:t>
      </w:r>
      <w:r w:rsidR="00A23744">
        <w:rPr>
          <w:rFonts w:ascii="Times New Roman" w:hAnsi="Times New Roman" w:cs="Times New Roman"/>
          <w:sz w:val="24"/>
          <w:szCs w:val="24"/>
          <w:lang w:val="en-GB"/>
        </w:rPr>
        <w:t xml:space="preserve">consequences </w:t>
      </w:r>
      <w:r w:rsidR="000C0C69">
        <w:rPr>
          <w:rFonts w:ascii="Times New Roman" w:hAnsi="Times New Roman" w:cs="Times New Roman"/>
          <w:sz w:val="24"/>
          <w:szCs w:val="24"/>
          <w:lang w:val="en-GB"/>
        </w:rPr>
        <w:t>of large wag</w:t>
      </w:r>
      <w:r w:rsidR="00CC6978">
        <w:rPr>
          <w:rFonts w:ascii="Times New Roman" w:hAnsi="Times New Roman" w:cs="Times New Roman"/>
          <w:sz w:val="24"/>
          <w:szCs w:val="24"/>
          <w:lang w:val="en-GB"/>
        </w:rPr>
        <w:t>e rises</w:t>
      </w:r>
      <w:r w:rsidR="006075F1">
        <w:rPr>
          <w:rFonts w:ascii="Times New Roman" w:hAnsi="Times New Roman" w:cs="Times New Roman"/>
          <w:sz w:val="24"/>
          <w:szCs w:val="24"/>
          <w:lang w:val="en-GB"/>
        </w:rPr>
        <w:t xml:space="preserve"> in the </w:t>
      </w:r>
      <w:r w:rsidR="008B3895">
        <w:rPr>
          <w:rFonts w:ascii="Times New Roman" w:hAnsi="Times New Roman" w:cs="Times New Roman"/>
          <w:sz w:val="24"/>
          <w:szCs w:val="24"/>
          <w:lang w:val="en-GB"/>
        </w:rPr>
        <w:t>nontradables</w:t>
      </w:r>
      <w:r w:rsidR="006075F1">
        <w:rPr>
          <w:rFonts w:ascii="Times New Roman" w:hAnsi="Times New Roman" w:cs="Times New Roman"/>
          <w:sz w:val="24"/>
          <w:szCs w:val="24"/>
          <w:lang w:val="en-GB"/>
        </w:rPr>
        <w:t xml:space="preserve"> sector</w:t>
      </w:r>
      <w:r w:rsidR="00CC6978">
        <w:rPr>
          <w:rFonts w:ascii="Times New Roman" w:hAnsi="Times New Roman" w:cs="Times New Roman"/>
          <w:sz w:val="24"/>
          <w:szCs w:val="24"/>
          <w:lang w:val="en-GB"/>
        </w:rPr>
        <w:t xml:space="preserve"> are much smaller</w:t>
      </w:r>
      <w:r w:rsidR="00635958">
        <w:rPr>
          <w:rFonts w:ascii="Times New Roman" w:hAnsi="Times New Roman" w:cs="Times New Roman"/>
          <w:sz w:val="24"/>
          <w:szCs w:val="24"/>
          <w:lang w:val="en-GB"/>
        </w:rPr>
        <w:t xml:space="preserve"> for prof</w:t>
      </w:r>
      <w:r w:rsidR="003E1CBA">
        <w:rPr>
          <w:rFonts w:ascii="Times New Roman" w:hAnsi="Times New Roman" w:cs="Times New Roman"/>
          <w:sz w:val="24"/>
          <w:szCs w:val="24"/>
          <w:lang w:val="en-GB"/>
        </w:rPr>
        <w:t>its</w:t>
      </w:r>
      <w:r w:rsidR="00635958">
        <w:rPr>
          <w:rFonts w:ascii="Times New Roman" w:hAnsi="Times New Roman" w:cs="Times New Roman"/>
          <w:sz w:val="24"/>
          <w:szCs w:val="24"/>
          <w:lang w:val="en-GB"/>
        </w:rPr>
        <w:t xml:space="preserve"> and employment</w:t>
      </w:r>
      <w:r w:rsidR="00CC6978">
        <w:rPr>
          <w:rFonts w:ascii="Times New Roman" w:hAnsi="Times New Roman" w:cs="Times New Roman"/>
          <w:sz w:val="24"/>
          <w:szCs w:val="24"/>
          <w:lang w:val="en-GB"/>
        </w:rPr>
        <w:t xml:space="preserve"> </w:t>
      </w:r>
      <w:r w:rsidR="006075F1">
        <w:rPr>
          <w:rFonts w:ascii="Times New Roman" w:hAnsi="Times New Roman" w:cs="Times New Roman"/>
          <w:sz w:val="24"/>
          <w:szCs w:val="24"/>
          <w:lang w:val="en-GB"/>
        </w:rPr>
        <w:t>t</w:t>
      </w:r>
      <w:r w:rsidR="008D174A">
        <w:rPr>
          <w:rFonts w:ascii="Times New Roman" w:hAnsi="Times New Roman" w:cs="Times New Roman"/>
          <w:sz w:val="24"/>
          <w:szCs w:val="24"/>
          <w:lang w:val="en-GB"/>
        </w:rPr>
        <w:t>her</w:t>
      </w:r>
      <w:r w:rsidR="006075F1">
        <w:rPr>
          <w:rFonts w:ascii="Times New Roman" w:hAnsi="Times New Roman" w:cs="Times New Roman"/>
          <w:sz w:val="24"/>
          <w:szCs w:val="24"/>
          <w:lang w:val="en-GB"/>
        </w:rPr>
        <w:t>e</w:t>
      </w:r>
      <w:r w:rsidR="00CC6978">
        <w:rPr>
          <w:rFonts w:ascii="Times New Roman" w:hAnsi="Times New Roman" w:cs="Times New Roman"/>
          <w:sz w:val="24"/>
          <w:szCs w:val="24"/>
          <w:lang w:val="en-GB"/>
        </w:rPr>
        <w:t xml:space="preserve"> because </w:t>
      </w:r>
      <w:r w:rsidR="00147B58">
        <w:rPr>
          <w:rFonts w:ascii="Times New Roman" w:hAnsi="Times New Roman" w:cs="Times New Roman"/>
          <w:sz w:val="24"/>
          <w:szCs w:val="24"/>
          <w:lang w:val="en-GB"/>
        </w:rPr>
        <w:t>prices can be raised.</w:t>
      </w:r>
      <w:r w:rsidR="008C6758">
        <w:rPr>
          <w:rFonts w:ascii="Times New Roman" w:hAnsi="Times New Roman" w:cs="Times New Roman"/>
          <w:sz w:val="24"/>
          <w:szCs w:val="24"/>
          <w:lang w:val="en-GB"/>
        </w:rPr>
        <w:t xml:space="preserve"> </w:t>
      </w:r>
    </w:p>
    <w:p w14:paraId="7AC7DFF4" w14:textId="231A8264" w:rsidR="001F3D40" w:rsidRDefault="00A05651" w:rsidP="0043517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876CE7">
        <w:rPr>
          <w:rFonts w:ascii="Times New Roman" w:hAnsi="Times New Roman" w:cs="Times New Roman"/>
          <w:sz w:val="24"/>
          <w:szCs w:val="24"/>
          <w:lang w:val="en-GB"/>
        </w:rPr>
        <w:t xml:space="preserve">above reasoning loses some of </w:t>
      </w:r>
      <w:r w:rsidR="00857DBB">
        <w:rPr>
          <w:rFonts w:ascii="Times New Roman" w:hAnsi="Times New Roman" w:cs="Times New Roman"/>
          <w:sz w:val="24"/>
          <w:szCs w:val="24"/>
          <w:lang w:val="en-GB"/>
        </w:rPr>
        <w:t>its</w:t>
      </w:r>
      <w:r w:rsidR="00876CE7">
        <w:rPr>
          <w:rFonts w:ascii="Times New Roman" w:hAnsi="Times New Roman" w:cs="Times New Roman"/>
          <w:sz w:val="24"/>
          <w:szCs w:val="24"/>
          <w:lang w:val="en-GB"/>
        </w:rPr>
        <w:t xml:space="preserve"> strength</w:t>
      </w:r>
      <w:r w:rsidR="00857DBB">
        <w:rPr>
          <w:rFonts w:ascii="Times New Roman" w:hAnsi="Times New Roman" w:cs="Times New Roman"/>
          <w:sz w:val="24"/>
          <w:szCs w:val="24"/>
          <w:lang w:val="en-GB"/>
        </w:rPr>
        <w:t xml:space="preserve"> </w:t>
      </w:r>
      <w:r w:rsidR="00D7316B">
        <w:rPr>
          <w:rFonts w:ascii="Times New Roman" w:hAnsi="Times New Roman" w:cs="Times New Roman"/>
          <w:sz w:val="24"/>
          <w:szCs w:val="24"/>
          <w:lang w:val="en-GB"/>
        </w:rPr>
        <w:t>when it comes to</w:t>
      </w:r>
      <w:r w:rsidR="0045086F">
        <w:rPr>
          <w:rFonts w:ascii="Times New Roman" w:hAnsi="Times New Roman" w:cs="Times New Roman"/>
          <w:sz w:val="24"/>
          <w:szCs w:val="24"/>
          <w:lang w:val="en-GB"/>
        </w:rPr>
        <w:t xml:space="preserve"> earlier </w:t>
      </w:r>
      <w:r w:rsidR="00EE6AD7">
        <w:rPr>
          <w:rFonts w:ascii="Times New Roman" w:hAnsi="Times New Roman" w:cs="Times New Roman"/>
          <w:sz w:val="24"/>
          <w:szCs w:val="24"/>
          <w:lang w:val="en-GB"/>
        </w:rPr>
        <w:t xml:space="preserve">Nordic </w:t>
      </w:r>
      <w:r w:rsidR="009F6F4F">
        <w:rPr>
          <w:rFonts w:ascii="Times New Roman" w:hAnsi="Times New Roman" w:cs="Times New Roman"/>
          <w:sz w:val="24"/>
          <w:szCs w:val="24"/>
          <w:lang w:val="en-GB"/>
        </w:rPr>
        <w:t xml:space="preserve">wage determination </w:t>
      </w:r>
      <w:r w:rsidR="004F2739">
        <w:rPr>
          <w:rFonts w:ascii="Times New Roman" w:hAnsi="Times New Roman" w:cs="Times New Roman"/>
          <w:sz w:val="24"/>
          <w:szCs w:val="24"/>
          <w:lang w:val="en-GB"/>
        </w:rPr>
        <w:t xml:space="preserve">in </w:t>
      </w:r>
      <w:r w:rsidR="000816E3">
        <w:rPr>
          <w:rFonts w:ascii="Times New Roman" w:hAnsi="Times New Roman" w:cs="Times New Roman"/>
          <w:sz w:val="24"/>
          <w:szCs w:val="24"/>
          <w:lang w:val="en-GB"/>
        </w:rPr>
        <w:t>the</w:t>
      </w:r>
      <w:r w:rsidR="0088596C">
        <w:rPr>
          <w:rFonts w:ascii="Times New Roman" w:hAnsi="Times New Roman" w:cs="Times New Roman"/>
          <w:sz w:val="24"/>
          <w:szCs w:val="24"/>
          <w:lang w:val="en-GB"/>
        </w:rPr>
        <w:t xml:space="preserve"> </w:t>
      </w:r>
      <w:r w:rsidR="000816E3">
        <w:rPr>
          <w:rFonts w:ascii="Times New Roman" w:hAnsi="Times New Roman" w:cs="Times New Roman"/>
          <w:sz w:val="24"/>
          <w:szCs w:val="24"/>
          <w:lang w:val="en-GB"/>
        </w:rPr>
        <w:t xml:space="preserve">1960s, 1970s and 1980s </w:t>
      </w:r>
      <w:r w:rsidR="00A31E72">
        <w:rPr>
          <w:rFonts w:ascii="Times New Roman" w:hAnsi="Times New Roman" w:cs="Times New Roman"/>
          <w:sz w:val="24"/>
          <w:szCs w:val="24"/>
          <w:lang w:val="en-GB"/>
        </w:rPr>
        <w:t>since</w:t>
      </w:r>
      <w:r w:rsidR="006429E8">
        <w:rPr>
          <w:rFonts w:ascii="Times New Roman" w:hAnsi="Times New Roman" w:cs="Times New Roman"/>
          <w:sz w:val="24"/>
          <w:szCs w:val="24"/>
          <w:lang w:val="en-GB"/>
        </w:rPr>
        <w:t xml:space="preserve"> the fixed exchange rat</w:t>
      </w:r>
      <w:r w:rsidR="003E0AB6">
        <w:rPr>
          <w:rFonts w:ascii="Times New Roman" w:hAnsi="Times New Roman" w:cs="Times New Roman"/>
          <w:sz w:val="24"/>
          <w:szCs w:val="24"/>
          <w:lang w:val="en-GB"/>
        </w:rPr>
        <w:t>e</w:t>
      </w:r>
      <w:r w:rsidR="006429E8">
        <w:rPr>
          <w:rFonts w:ascii="Times New Roman" w:hAnsi="Times New Roman" w:cs="Times New Roman"/>
          <w:sz w:val="24"/>
          <w:szCs w:val="24"/>
          <w:lang w:val="en-GB"/>
        </w:rPr>
        <w:t xml:space="preserve">s in </w:t>
      </w:r>
      <w:r w:rsidR="003E0AB6">
        <w:rPr>
          <w:rFonts w:ascii="Times New Roman" w:hAnsi="Times New Roman" w:cs="Times New Roman"/>
          <w:sz w:val="24"/>
          <w:szCs w:val="24"/>
          <w:lang w:val="en-GB"/>
        </w:rPr>
        <w:t xml:space="preserve">Finland, </w:t>
      </w:r>
      <w:r w:rsidR="00EE6AD7">
        <w:rPr>
          <w:rFonts w:ascii="Times New Roman" w:hAnsi="Times New Roman" w:cs="Times New Roman"/>
          <w:sz w:val="24"/>
          <w:szCs w:val="24"/>
          <w:lang w:val="en-GB"/>
        </w:rPr>
        <w:t xml:space="preserve">Norway and </w:t>
      </w:r>
      <w:r w:rsidR="00C7067F">
        <w:rPr>
          <w:rFonts w:ascii="Times New Roman" w:hAnsi="Times New Roman" w:cs="Times New Roman"/>
          <w:sz w:val="24"/>
          <w:szCs w:val="24"/>
          <w:lang w:val="en-GB"/>
        </w:rPr>
        <w:t xml:space="preserve">Sweden and Norway </w:t>
      </w:r>
      <w:r w:rsidR="00351369">
        <w:rPr>
          <w:rFonts w:ascii="Times New Roman" w:hAnsi="Times New Roman" w:cs="Times New Roman"/>
          <w:sz w:val="24"/>
          <w:szCs w:val="24"/>
          <w:lang w:val="en-GB"/>
        </w:rPr>
        <w:t>then were</w:t>
      </w:r>
      <w:r w:rsidR="009C6456">
        <w:rPr>
          <w:rFonts w:ascii="Times New Roman" w:hAnsi="Times New Roman" w:cs="Times New Roman"/>
          <w:sz w:val="24"/>
          <w:szCs w:val="24"/>
          <w:lang w:val="en-GB"/>
        </w:rPr>
        <w:t xml:space="preserve"> not really fixed: instead t</w:t>
      </w:r>
      <w:r w:rsidR="008D174A">
        <w:rPr>
          <w:rFonts w:ascii="Times New Roman" w:hAnsi="Times New Roman" w:cs="Times New Roman"/>
          <w:sz w:val="24"/>
          <w:szCs w:val="24"/>
          <w:lang w:val="en-GB"/>
        </w:rPr>
        <w:t>her</w:t>
      </w:r>
      <w:r w:rsidR="009C6456">
        <w:rPr>
          <w:rFonts w:ascii="Times New Roman" w:hAnsi="Times New Roman" w:cs="Times New Roman"/>
          <w:sz w:val="24"/>
          <w:szCs w:val="24"/>
          <w:lang w:val="en-GB"/>
        </w:rPr>
        <w:t xml:space="preserve">e were repeated devaluations </w:t>
      </w:r>
      <w:r w:rsidR="00E61929">
        <w:rPr>
          <w:rFonts w:ascii="Times New Roman" w:hAnsi="Times New Roman" w:cs="Times New Roman"/>
          <w:sz w:val="24"/>
          <w:szCs w:val="24"/>
          <w:lang w:val="en-GB"/>
        </w:rPr>
        <w:t>to restore international</w:t>
      </w:r>
      <w:r w:rsidR="00351369">
        <w:rPr>
          <w:rFonts w:ascii="Times New Roman" w:hAnsi="Times New Roman" w:cs="Times New Roman"/>
          <w:sz w:val="24"/>
          <w:szCs w:val="24"/>
          <w:lang w:val="en-GB"/>
        </w:rPr>
        <w:t xml:space="preserve"> cost</w:t>
      </w:r>
      <w:r w:rsidR="00E61929">
        <w:rPr>
          <w:rFonts w:ascii="Times New Roman" w:hAnsi="Times New Roman" w:cs="Times New Roman"/>
          <w:sz w:val="24"/>
          <w:szCs w:val="24"/>
          <w:lang w:val="en-GB"/>
        </w:rPr>
        <w:t xml:space="preserve"> competitiveness after periods of </w:t>
      </w:r>
      <w:r w:rsidR="00351369">
        <w:rPr>
          <w:rFonts w:ascii="Times New Roman" w:hAnsi="Times New Roman" w:cs="Times New Roman"/>
          <w:sz w:val="24"/>
          <w:szCs w:val="24"/>
          <w:lang w:val="en-GB"/>
        </w:rPr>
        <w:t xml:space="preserve">high </w:t>
      </w:r>
      <w:r w:rsidR="00E61929">
        <w:rPr>
          <w:rFonts w:ascii="Times New Roman" w:hAnsi="Times New Roman" w:cs="Times New Roman"/>
          <w:sz w:val="24"/>
          <w:szCs w:val="24"/>
          <w:lang w:val="en-GB"/>
        </w:rPr>
        <w:t>wage increases</w:t>
      </w:r>
      <w:r w:rsidR="00265902">
        <w:rPr>
          <w:rFonts w:ascii="Times New Roman" w:hAnsi="Times New Roman" w:cs="Times New Roman"/>
          <w:sz w:val="24"/>
          <w:szCs w:val="24"/>
          <w:lang w:val="en-GB"/>
        </w:rPr>
        <w:t xml:space="preserve">. </w:t>
      </w:r>
      <w:r w:rsidR="00777CEE">
        <w:rPr>
          <w:rFonts w:ascii="Times New Roman" w:hAnsi="Times New Roman" w:cs="Times New Roman"/>
          <w:sz w:val="24"/>
          <w:szCs w:val="24"/>
          <w:lang w:val="en-GB"/>
        </w:rPr>
        <w:t>If</w:t>
      </w:r>
      <w:r w:rsidR="00265902">
        <w:rPr>
          <w:rFonts w:ascii="Times New Roman" w:hAnsi="Times New Roman" w:cs="Times New Roman"/>
          <w:sz w:val="24"/>
          <w:szCs w:val="24"/>
          <w:lang w:val="en-GB"/>
        </w:rPr>
        <w:t xml:space="preserve"> </w:t>
      </w:r>
      <w:r w:rsidR="00B370BE">
        <w:rPr>
          <w:rFonts w:ascii="Times New Roman" w:hAnsi="Times New Roman" w:cs="Times New Roman"/>
          <w:sz w:val="24"/>
          <w:szCs w:val="24"/>
          <w:lang w:val="en-GB"/>
        </w:rPr>
        <w:t>such exchange rate accommodation was</w:t>
      </w:r>
      <w:r w:rsidR="00265902">
        <w:rPr>
          <w:rFonts w:ascii="Times New Roman" w:hAnsi="Times New Roman" w:cs="Times New Roman"/>
          <w:sz w:val="24"/>
          <w:szCs w:val="24"/>
          <w:lang w:val="en-GB"/>
        </w:rPr>
        <w:t xml:space="preserve"> anticipated, the </w:t>
      </w:r>
      <w:r w:rsidR="002C1136">
        <w:rPr>
          <w:rFonts w:ascii="Times New Roman" w:hAnsi="Times New Roman" w:cs="Times New Roman"/>
          <w:sz w:val="24"/>
          <w:szCs w:val="24"/>
          <w:lang w:val="en-GB"/>
        </w:rPr>
        <w:t>wage restrain</w:t>
      </w:r>
      <w:r w:rsidR="00280A31">
        <w:rPr>
          <w:rFonts w:ascii="Times New Roman" w:hAnsi="Times New Roman" w:cs="Times New Roman"/>
          <w:sz w:val="24"/>
          <w:szCs w:val="24"/>
          <w:lang w:val="en-GB"/>
        </w:rPr>
        <w:t>t</w:t>
      </w:r>
      <w:r w:rsidR="002C1136">
        <w:rPr>
          <w:rFonts w:ascii="Times New Roman" w:hAnsi="Times New Roman" w:cs="Times New Roman"/>
          <w:sz w:val="24"/>
          <w:szCs w:val="24"/>
          <w:lang w:val="en-GB"/>
        </w:rPr>
        <w:t xml:space="preserve"> logic above did not </w:t>
      </w:r>
      <w:r w:rsidR="00777CEE">
        <w:rPr>
          <w:rFonts w:ascii="Times New Roman" w:hAnsi="Times New Roman" w:cs="Times New Roman"/>
          <w:sz w:val="24"/>
          <w:szCs w:val="24"/>
          <w:lang w:val="en-GB"/>
        </w:rPr>
        <w:t xml:space="preserve">apply except to the extent </w:t>
      </w:r>
      <w:r w:rsidR="00736545">
        <w:rPr>
          <w:rFonts w:ascii="Times New Roman" w:hAnsi="Times New Roman" w:cs="Times New Roman"/>
          <w:sz w:val="24"/>
          <w:szCs w:val="24"/>
          <w:lang w:val="en-GB"/>
        </w:rPr>
        <w:t>that t</w:t>
      </w:r>
      <w:r w:rsidR="008D174A">
        <w:rPr>
          <w:rFonts w:ascii="Times New Roman" w:hAnsi="Times New Roman" w:cs="Times New Roman"/>
          <w:sz w:val="24"/>
          <w:szCs w:val="24"/>
          <w:lang w:val="en-GB"/>
        </w:rPr>
        <w:t>her</w:t>
      </w:r>
      <w:r w:rsidR="00736545">
        <w:rPr>
          <w:rFonts w:ascii="Times New Roman" w:hAnsi="Times New Roman" w:cs="Times New Roman"/>
          <w:sz w:val="24"/>
          <w:szCs w:val="24"/>
          <w:lang w:val="en-GB"/>
        </w:rPr>
        <w:t>e were long lags between the deterioration</w:t>
      </w:r>
      <w:r w:rsidR="00280A31">
        <w:rPr>
          <w:rFonts w:ascii="Times New Roman" w:hAnsi="Times New Roman" w:cs="Times New Roman"/>
          <w:sz w:val="24"/>
          <w:szCs w:val="24"/>
          <w:lang w:val="en-GB"/>
        </w:rPr>
        <w:t>s of prof</w:t>
      </w:r>
      <w:r w:rsidR="00DA43C8">
        <w:rPr>
          <w:rFonts w:ascii="Times New Roman" w:hAnsi="Times New Roman" w:cs="Times New Roman"/>
          <w:sz w:val="24"/>
          <w:szCs w:val="24"/>
          <w:lang w:val="en-GB"/>
        </w:rPr>
        <w:t>its</w:t>
      </w:r>
      <w:r w:rsidR="00280A31">
        <w:rPr>
          <w:rFonts w:ascii="Times New Roman" w:hAnsi="Times New Roman" w:cs="Times New Roman"/>
          <w:sz w:val="24"/>
          <w:szCs w:val="24"/>
          <w:lang w:val="en-GB"/>
        </w:rPr>
        <w:t xml:space="preserve"> and employment and the devaluations. </w:t>
      </w:r>
      <w:r w:rsidR="008C1D27">
        <w:rPr>
          <w:rFonts w:ascii="Times New Roman" w:hAnsi="Times New Roman" w:cs="Times New Roman"/>
          <w:sz w:val="24"/>
          <w:szCs w:val="24"/>
          <w:lang w:val="en-GB"/>
        </w:rPr>
        <w:t xml:space="preserve">The </w:t>
      </w:r>
      <w:r w:rsidR="00435CF0">
        <w:rPr>
          <w:rFonts w:ascii="Times New Roman" w:hAnsi="Times New Roman" w:cs="Times New Roman"/>
          <w:sz w:val="24"/>
          <w:szCs w:val="24"/>
          <w:lang w:val="en-GB"/>
        </w:rPr>
        <w:t>argument is stronger</w:t>
      </w:r>
      <w:r w:rsidR="008C1D27">
        <w:rPr>
          <w:rFonts w:ascii="Times New Roman" w:hAnsi="Times New Roman" w:cs="Times New Roman"/>
          <w:sz w:val="24"/>
          <w:szCs w:val="24"/>
          <w:lang w:val="en-GB"/>
        </w:rPr>
        <w:t xml:space="preserve"> </w:t>
      </w:r>
      <w:r w:rsidR="00E13427">
        <w:rPr>
          <w:rFonts w:ascii="Times New Roman" w:hAnsi="Times New Roman" w:cs="Times New Roman"/>
          <w:sz w:val="24"/>
          <w:szCs w:val="24"/>
          <w:lang w:val="en-GB"/>
        </w:rPr>
        <w:t xml:space="preserve">with </w:t>
      </w:r>
      <w:r w:rsidR="0044025E">
        <w:rPr>
          <w:rFonts w:ascii="Times New Roman" w:hAnsi="Times New Roman" w:cs="Times New Roman"/>
          <w:sz w:val="24"/>
          <w:szCs w:val="24"/>
          <w:lang w:val="en-GB"/>
        </w:rPr>
        <w:t>the</w:t>
      </w:r>
      <w:r w:rsidR="003A41B0">
        <w:rPr>
          <w:rFonts w:ascii="Times New Roman" w:hAnsi="Times New Roman" w:cs="Times New Roman"/>
          <w:sz w:val="24"/>
          <w:szCs w:val="24"/>
          <w:lang w:val="en-GB"/>
        </w:rPr>
        <w:t xml:space="preserve"> Danish</w:t>
      </w:r>
      <w:r w:rsidR="00E13427">
        <w:rPr>
          <w:rFonts w:ascii="Times New Roman" w:hAnsi="Times New Roman" w:cs="Times New Roman"/>
          <w:sz w:val="24"/>
          <w:szCs w:val="24"/>
          <w:lang w:val="en-GB"/>
        </w:rPr>
        <w:t xml:space="preserve"> credible exchange rate peg since 197</w:t>
      </w:r>
      <w:r w:rsidR="00BD1262">
        <w:rPr>
          <w:rFonts w:ascii="Times New Roman" w:hAnsi="Times New Roman" w:cs="Times New Roman"/>
          <w:sz w:val="24"/>
          <w:szCs w:val="24"/>
          <w:lang w:val="en-GB"/>
        </w:rPr>
        <w:t xml:space="preserve">9 and </w:t>
      </w:r>
      <w:r w:rsidR="0044025E">
        <w:rPr>
          <w:rFonts w:ascii="Times New Roman" w:hAnsi="Times New Roman" w:cs="Times New Roman"/>
          <w:sz w:val="24"/>
          <w:szCs w:val="24"/>
          <w:lang w:val="en-GB"/>
        </w:rPr>
        <w:t>the</w:t>
      </w:r>
      <w:r w:rsidR="003A41B0">
        <w:rPr>
          <w:rFonts w:ascii="Times New Roman" w:hAnsi="Times New Roman" w:cs="Times New Roman"/>
          <w:sz w:val="24"/>
          <w:szCs w:val="24"/>
          <w:lang w:val="en-GB"/>
        </w:rPr>
        <w:t xml:space="preserve"> Finnish eurozone membership since 1999</w:t>
      </w:r>
      <w:r w:rsidR="00EF3997">
        <w:rPr>
          <w:rFonts w:ascii="Times New Roman" w:hAnsi="Times New Roman" w:cs="Times New Roman"/>
          <w:sz w:val="24"/>
          <w:szCs w:val="24"/>
          <w:lang w:val="en-GB"/>
        </w:rPr>
        <w:t>.</w:t>
      </w:r>
    </w:p>
    <w:p w14:paraId="4A038958" w14:textId="05795256" w:rsidR="00D8090F" w:rsidRDefault="00CD2C3F" w:rsidP="0043517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How does </w:t>
      </w:r>
      <w:r w:rsidR="001504D8">
        <w:rPr>
          <w:rFonts w:ascii="Times New Roman" w:hAnsi="Times New Roman" w:cs="Times New Roman"/>
          <w:sz w:val="24"/>
          <w:szCs w:val="24"/>
          <w:lang w:val="en-GB"/>
        </w:rPr>
        <w:t xml:space="preserve">the reasoning above translate to </w:t>
      </w:r>
      <w:r w:rsidR="00355B13">
        <w:rPr>
          <w:rFonts w:ascii="Times New Roman" w:hAnsi="Times New Roman" w:cs="Times New Roman"/>
          <w:sz w:val="24"/>
          <w:szCs w:val="24"/>
          <w:lang w:val="en-GB"/>
        </w:rPr>
        <w:t xml:space="preserve">inflation targeting? </w:t>
      </w:r>
      <w:r w:rsidR="00F133E6">
        <w:rPr>
          <w:rFonts w:ascii="Times New Roman" w:hAnsi="Times New Roman" w:cs="Times New Roman"/>
          <w:sz w:val="24"/>
          <w:szCs w:val="24"/>
          <w:lang w:val="en-GB"/>
        </w:rPr>
        <w:t>It is often argued that t</w:t>
      </w:r>
      <w:r w:rsidR="008D174A">
        <w:rPr>
          <w:rFonts w:ascii="Times New Roman" w:hAnsi="Times New Roman" w:cs="Times New Roman"/>
          <w:sz w:val="24"/>
          <w:szCs w:val="24"/>
          <w:lang w:val="en-GB"/>
        </w:rPr>
        <w:t>her</w:t>
      </w:r>
      <w:r w:rsidR="00F133E6">
        <w:rPr>
          <w:rFonts w:ascii="Times New Roman" w:hAnsi="Times New Roman" w:cs="Times New Roman"/>
          <w:sz w:val="24"/>
          <w:szCs w:val="24"/>
          <w:lang w:val="en-GB"/>
        </w:rPr>
        <w:t>e is</w:t>
      </w:r>
      <w:r w:rsidR="003B25E8">
        <w:rPr>
          <w:rFonts w:ascii="Times New Roman" w:hAnsi="Times New Roman" w:cs="Times New Roman"/>
          <w:sz w:val="24"/>
          <w:szCs w:val="24"/>
          <w:lang w:val="en-GB"/>
        </w:rPr>
        <w:t xml:space="preserve"> </w:t>
      </w:r>
      <w:r w:rsidR="006B7805">
        <w:rPr>
          <w:rFonts w:ascii="Times New Roman" w:hAnsi="Times New Roman" w:cs="Times New Roman"/>
          <w:sz w:val="24"/>
          <w:szCs w:val="24"/>
          <w:lang w:val="en-GB"/>
        </w:rPr>
        <w:t>then</w:t>
      </w:r>
      <w:r w:rsidR="00717228">
        <w:rPr>
          <w:rFonts w:ascii="Times New Roman" w:hAnsi="Times New Roman" w:cs="Times New Roman"/>
          <w:sz w:val="24"/>
          <w:szCs w:val="24"/>
          <w:lang w:val="en-GB"/>
        </w:rPr>
        <w:t xml:space="preserve"> a </w:t>
      </w:r>
      <w:r w:rsidR="00717228">
        <w:rPr>
          <w:rFonts w:ascii="Times New Roman" w:hAnsi="Times New Roman" w:cs="Times New Roman"/>
          <w:i/>
          <w:iCs/>
          <w:sz w:val="24"/>
          <w:szCs w:val="24"/>
          <w:lang w:val="en-GB"/>
        </w:rPr>
        <w:t xml:space="preserve">double </w:t>
      </w:r>
      <w:r w:rsidR="00566E56">
        <w:rPr>
          <w:rFonts w:ascii="Times New Roman" w:hAnsi="Times New Roman" w:cs="Times New Roman"/>
          <w:sz w:val="24"/>
          <w:szCs w:val="24"/>
          <w:lang w:val="en-GB"/>
        </w:rPr>
        <w:t>incentive for wage restraint in the tradables sector</w:t>
      </w:r>
      <w:r w:rsidR="003B25E8">
        <w:rPr>
          <w:rFonts w:ascii="Times New Roman" w:hAnsi="Times New Roman" w:cs="Times New Roman"/>
          <w:sz w:val="24"/>
          <w:szCs w:val="24"/>
          <w:lang w:val="en-GB"/>
        </w:rPr>
        <w:t xml:space="preserve"> (e.g</w:t>
      </w:r>
      <w:r w:rsidR="00C06C3D">
        <w:rPr>
          <w:rFonts w:ascii="Times New Roman" w:hAnsi="Times New Roman" w:cs="Times New Roman"/>
          <w:sz w:val="24"/>
          <w:szCs w:val="24"/>
          <w:lang w:val="en-GB"/>
        </w:rPr>
        <w:t>.</w:t>
      </w:r>
      <w:r w:rsidR="003A17BA">
        <w:rPr>
          <w:rFonts w:ascii="Times New Roman" w:hAnsi="Times New Roman" w:cs="Times New Roman"/>
          <w:sz w:val="24"/>
          <w:szCs w:val="24"/>
          <w:lang w:val="en-GB"/>
        </w:rPr>
        <w:t xml:space="preserve"> </w:t>
      </w:r>
      <w:r w:rsidR="003B25E8">
        <w:rPr>
          <w:rFonts w:ascii="Times New Roman" w:hAnsi="Times New Roman" w:cs="Times New Roman"/>
          <w:sz w:val="24"/>
          <w:szCs w:val="24"/>
          <w:lang w:val="en-GB"/>
        </w:rPr>
        <w:t>Konjunkturinstitutet</w:t>
      </w:r>
      <w:r w:rsidR="00C81630">
        <w:rPr>
          <w:rFonts w:ascii="Times New Roman" w:hAnsi="Times New Roman" w:cs="Times New Roman"/>
          <w:sz w:val="24"/>
          <w:szCs w:val="24"/>
          <w:lang w:val="en-GB"/>
        </w:rPr>
        <w:t>,</w:t>
      </w:r>
      <w:r w:rsidR="003B25E8">
        <w:rPr>
          <w:rFonts w:ascii="Times New Roman" w:hAnsi="Times New Roman" w:cs="Times New Roman"/>
          <w:sz w:val="24"/>
          <w:szCs w:val="24"/>
          <w:lang w:val="en-GB"/>
        </w:rPr>
        <w:t xml:space="preserve"> 2012</w:t>
      </w:r>
      <w:r w:rsidR="00C81630">
        <w:rPr>
          <w:rFonts w:ascii="Times New Roman" w:hAnsi="Times New Roman" w:cs="Times New Roman"/>
          <w:sz w:val="24"/>
          <w:szCs w:val="24"/>
          <w:lang w:val="en-GB"/>
        </w:rPr>
        <w:t>;</w:t>
      </w:r>
      <w:r w:rsidR="003B25E8">
        <w:rPr>
          <w:rFonts w:ascii="Times New Roman" w:hAnsi="Times New Roman" w:cs="Times New Roman"/>
          <w:sz w:val="24"/>
          <w:szCs w:val="24"/>
          <w:lang w:val="en-GB"/>
        </w:rPr>
        <w:t xml:space="preserve"> Facken inom industrin</w:t>
      </w:r>
      <w:r w:rsidR="00C81630">
        <w:rPr>
          <w:rFonts w:ascii="Times New Roman" w:hAnsi="Times New Roman" w:cs="Times New Roman"/>
          <w:sz w:val="24"/>
          <w:szCs w:val="24"/>
          <w:lang w:val="en-GB"/>
        </w:rPr>
        <w:t xml:space="preserve">, 2015; </w:t>
      </w:r>
      <w:r w:rsidR="00175096">
        <w:rPr>
          <w:rFonts w:ascii="Times New Roman" w:hAnsi="Times New Roman" w:cs="Times New Roman"/>
          <w:sz w:val="24"/>
          <w:szCs w:val="24"/>
          <w:lang w:val="en-GB"/>
        </w:rPr>
        <w:t>Holden</w:t>
      </w:r>
      <w:r w:rsidR="008355EF">
        <w:rPr>
          <w:rFonts w:ascii="Times New Roman" w:hAnsi="Times New Roman" w:cs="Times New Roman"/>
          <w:sz w:val="24"/>
          <w:szCs w:val="24"/>
          <w:lang w:val="en-GB"/>
        </w:rPr>
        <w:t xml:space="preserve"> </w:t>
      </w:r>
      <w:r w:rsidR="00F944D8">
        <w:rPr>
          <w:rFonts w:ascii="Times New Roman" w:hAnsi="Times New Roman" w:cs="Times New Roman"/>
          <w:sz w:val="24"/>
          <w:szCs w:val="24"/>
          <w:lang w:val="en-GB"/>
        </w:rPr>
        <w:t>IV</w:t>
      </w:r>
      <w:r w:rsidR="008355EF">
        <w:rPr>
          <w:rFonts w:ascii="Times New Roman" w:hAnsi="Times New Roman" w:cs="Times New Roman"/>
          <w:sz w:val="24"/>
          <w:szCs w:val="24"/>
          <w:lang w:val="en-GB"/>
        </w:rPr>
        <w:t>-</w:t>
      </w:r>
      <w:r w:rsidR="00F944D8">
        <w:rPr>
          <w:rFonts w:ascii="Times New Roman" w:hAnsi="Times New Roman" w:cs="Times New Roman"/>
          <w:sz w:val="24"/>
          <w:szCs w:val="24"/>
          <w:lang w:val="en-GB"/>
        </w:rPr>
        <w:t xml:space="preserve">utvalget, 2023). </w:t>
      </w:r>
      <w:r w:rsidR="00F10E4E">
        <w:rPr>
          <w:rFonts w:ascii="Times New Roman" w:hAnsi="Times New Roman" w:cs="Times New Roman"/>
          <w:sz w:val="24"/>
          <w:szCs w:val="24"/>
          <w:lang w:val="en-GB"/>
        </w:rPr>
        <w:t xml:space="preserve">High wage increases </w:t>
      </w:r>
      <w:r w:rsidR="009707D7">
        <w:rPr>
          <w:rFonts w:ascii="Times New Roman" w:hAnsi="Times New Roman" w:cs="Times New Roman"/>
          <w:sz w:val="24"/>
          <w:szCs w:val="24"/>
          <w:lang w:val="en-GB"/>
        </w:rPr>
        <w:t>reduce prof</w:t>
      </w:r>
      <w:r w:rsidR="006E6F50">
        <w:rPr>
          <w:rFonts w:ascii="Times New Roman" w:hAnsi="Times New Roman" w:cs="Times New Roman"/>
          <w:sz w:val="24"/>
          <w:szCs w:val="24"/>
          <w:lang w:val="en-GB"/>
        </w:rPr>
        <w:t>its</w:t>
      </w:r>
      <w:r w:rsidR="009707D7">
        <w:rPr>
          <w:rFonts w:ascii="Times New Roman" w:hAnsi="Times New Roman" w:cs="Times New Roman"/>
          <w:sz w:val="24"/>
          <w:szCs w:val="24"/>
          <w:lang w:val="en-GB"/>
        </w:rPr>
        <w:t xml:space="preserve"> and employment t</w:t>
      </w:r>
      <w:r w:rsidR="008D174A">
        <w:rPr>
          <w:rFonts w:ascii="Times New Roman" w:hAnsi="Times New Roman" w:cs="Times New Roman"/>
          <w:sz w:val="24"/>
          <w:szCs w:val="24"/>
          <w:lang w:val="en-GB"/>
        </w:rPr>
        <w:t>her</w:t>
      </w:r>
      <w:r w:rsidR="009707D7">
        <w:rPr>
          <w:rFonts w:ascii="Times New Roman" w:hAnsi="Times New Roman" w:cs="Times New Roman"/>
          <w:sz w:val="24"/>
          <w:szCs w:val="24"/>
          <w:lang w:val="en-GB"/>
        </w:rPr>
        <w:t xml:space="preserve">e </w:t>
      </w:r>
      <w:r w:rsidR="006E6F50">
        <w:rPr>
          <w:rFonts w:ascii="Times New Roman" w:hAnsi="Times New Roman" w:cs="Times New Roman"/>
          <w:sz w:val="24"/>
          <w:szCs w:val="24"/>
          <w:lang w:val="en-GB"/>
        </w:rPr>
        <w:t xml:space="preserve">if </w:t>
      </w:r>
      <w:r w:rsidR="00887B0C">
        <w:rPr>
          <w:rFonts w:ascii="Times New Roman" w:hAnsi="Times New Roman" w:cs="Times New Roman"/>
          <w:sz w:val="24"/>
          <w:szCs w:val="24"/>
          <w:lang w:val="en-GB"/>
        </w:rPr>
        <w:t>the</w:t>
      </w:r>
      <w:r w:rsidR="009707D7">
        <w:rPr>
          <w:rFonts w:ascii="Times New Roman" w:hAnsi="Times New Roman" w:cs="Times New Roman"/>
          <w:sz w:val="24"/>
          <w:szCs w:val="24"/>
          <w:lang w:val="en-GB"/>
        </w:rPr>
        <w:t xml:space="preserve"> exchange rate</w:t>
      </w:r>
      <w:r w:rsidR="006E6F50">
        <w:rPr>
          <w:rFonts w:ascii="Times New Roman" w:hAnsi="Times New Roman" w:cs="Times New Roman"/>
          <w:sz w:val="24"/>
          <w:szCs w:val="24"/>
          <w:lang w:val="en-GB"/>
        </w:rPr>
        <w:t xml:space="preserve"> </w:t>
      </w:r>
      <w:r w:rsidR="00887B0C">
        <w:rPr>
          <w:rFonts w:ascii="Times New Roman" w:hAnsi="Times New Roman" w:cs="Times New Roman"/>
          <w:sz w:val="24"/>
          <w:szCs w:val="24"/>
          <w:lang w:val="en-GB"/>
        </w:rPr>
        <w:t>stays unchanged</w:t>
      </w:r>
      <w:r w:rsidR="009707D7">
        <w:rPr>
          <w:rFonts w:ascii="Times New Roman" w:hAnsi="Times New Roman" w:cs="Times New Roman"/>
          <w:sz w:val="24"/>
          <w:szCs w:val="24"/>
          <w:lang w:val="en-GB"/>
        </w:rPr>
        <w:t xml:space="preserve">. </w:t>
      </w:r>
      <w:r w:rsidR="004135F5">
        <w:rPr>
          <w:rFonts w:ascii="Times New Roman" w:hAnsi="Times New Roman" w:cs="Times New Roman"/>
          <w:sz w:val="24"/>
          <w:szCs w:val="24"/>
          <w:lang w:val="en-GB"/>
        </w:rPr>
        <w:t>But this is not likely to be the case</w:t>
      </w:r>
      <w:r w:rsidR="00FC44F5">
        <w:rPr>
          <w:rFonts w:ascii="Times New Roman" w:hAnsi="Times New Roman" w:cs="Times New Roman"/>
          <w:sz w:val="24"/>
          <w:szCs w:val="24"/>
          <w:lang w:val="en-GB"/>
        </w:rPr>
        <w:t>: w</w:t>
      </w:r>
      <w:r w:rsidR="002278B1">
        <w:rPr>
          <w:rFonts w:ascii="Times New Roman" w:hAnsi="Times New Roman" w:cs="Times New Roman"/>
          <w:sz w:val="24"/>
          <w:szCs w:val="24"/>
          <w:lang w:val="en-GB"/>
        </w:rPr>
        <w:t>hen</w:t>
      </w:r>
      <w:r w:rsidR="00FC44F5">
        <w:rPr>
          <w:rFonts w:ascii="Times New Roman" w:hAnsi="Times New Roman" w:cs="Times New Roman"/>
          <w:sz w:val="24"/>
          <w:szCs w:val="24"/>
          <w:lang w:val="en-GB"/>
        </w:rPr>
        <w:t xml:space="preserve"> wage incre</w:t>
      </w:r>
      <w:r w:rsidR="00342C28">
        <w:rPr>
          <w:rFonts w:ascii="Times New Roman" w:hAnsi="Times New Roman" w:cs="Times New Roman"/>
          <w:sz w:val="24"/>
          <w:szCs w:val="24"/>
          <w:lang w:val="en-GB"/>
        </w:rPr>
        <w:t>ases</w:t>
      </w:r>
      <w:r w:rsidR="00430F6F">
        <w:rPr>
          <w:rFonts w:ascii="Times New Roman" w:hAnsi="Times New Roman" w:cs="Times New Roman"/>
          <w:sz w:val="24"/>
          <w:szCs w:val="24"/>
          <w:lang w:val="en-GB"/>
        </w:rPr>
        <w:t xml:space="preserve"> </w:t>
      </w:r>
      <w:r w:rsidR="00B8392E">
        <w:rPr>
          <w:rFonts w:ascii="Times New Roman" w:hAnsi="Times New Roman" w:cs="Times New Roman"/>
          <w:sz w:val="24"/>
          <w:szCs w:val="24"/>
          <w:lang w:val="en-GB"/>
        </w:rPr>
        <w:t xml:space="preserve">spread to the </w:t>
      </w:r>
      <w:r w:rsidR="008B3895">
        <w:rPr>
          <w:rFonts w:ascii="Times New Roman" w:hAnsi="Times New Roman" w:cs="Times New Roman"/>
          <w:sz w:val="24"/>
          <w:szCs w:val="24"/>
          <w:lang w:val="en-GB"/>
        </w:rPr>
        <w:t>nontradables</w:t>
      </w:r>
      <w:r w:rsidR="00B8392E">
        <w:rPr>
          <w:rFonts w:ascii="Times New Roman" w:hAnsi="Times New Roman" w:cs="Times New Roman"/>
          <w:sz w:val="24"/>
          <w:szCs w:val="24"/>
          <w:lang w:val="en-GB"/>
        </w:rPr>
        <w:t xml:space="preserve"> sector and caus</w:t>
      </w:r>
      <w:r w:rsidR="00342C28">
        <w:rPr>
          <w:rFonts w:ascii="Times New Roman" w:hAnsi="Times New Roman" w:cs="Times New Roman"/>
          <w:sz w:val="24"/>
          <w:szCs w:val="24"/>
          <w:lang w:val="en-GB"/>
        </w:rPr>
        <w:t>e</w:t>
      </w:r>
      <w:r w:rsidR="00B8392E">
        <w:rPr>
          <w:rFonts w:ascii="Times New Roman" w:hAnsi="Times New Roman" w:cs="Times New Roman"/>
          <w:sz w:val="24"/>
          <w:szCs w:val="24"/>
          <w:lang w:val="en-GB"/>
        </w:rPr>
        <w:t xml:space="preserve"> price increases t</w:t>
      </w:r>
      <w:r w:rsidR="008D174A">
        <w:rPr>
          <w:rFonts w:ascii="Times New Roman" w:hAnsi="Times New Roman" w:cs="Times New Roman"/>
          <w:sz w:val="24"/>
          <w:szCs w:val="24"/>
          <w:lang w:val="en-GB"/>
        </w:rPr>
        <w:t>her</w:t>
      </w:r>
      <w:r w:rsidR="00B8392E">
        <w:rPr>
          <w:rFonts w:ascii="Times New Roman" w:hAnsi="Times New Roman" w:cs="Times New Roman"/>
          <w:sz w:val="24"/>
          <w:szCs w:val="24"/>
          <w:lang w:val="en-GB"/>
        </w:rPr>
        <w:t>e</w:t>
      </w:r>
      <w:r w:rsidR="00EB06AF">
        <w:rPr>
          <w:rFonts w:ascii="Times New Roman" w:hAnsi="Times New Roman" w:cs="Times New Roman"/>
          <w:sz w:val="24"/>
          <w:szCs w:val="24"/>
          <w:lang w:val="en-GB"/>
        </w:rPr>
        <w:t xml:space="preserve">, the central bank </w:t>
      </w:r>
      <w:r w:rsidR="00342C28">
        <w:rPr>
          <w:rFonts w:ascii="Times New Roman" w:hAnsi="Times New Roman" w:cs="Times New Roman"/>
          <w:sz w:val="24"/>
          <w:szCs w:val="24"/>
          <w:lang w:val="en-GB"/>
        </w:rPr>
        <w:t>must</w:t>
      </w:r>
      <w:r w:rsidR="00EB06AF">
        <w:rPr>
          <w:rFonts w:ascii="Times New Roman" w:hAnsi="Times New Roman" w:cs="Times New Roman"/>
          <w:sz w:val="24"/>
          <w:szCs w:val="24"/>
          <w:lang w:val="en-GB"/>
        </w:rPr>
        <w:t xml:space="preserve"> raise the </w:t>
      </w:r>
      <w:r w:rsidR="004870ED">
        <w:rPr>
          <w:rFonts w:ascii="Times New Roman" w:hAnsi="Times New Roman" w:cs="Times New Roman"/>
          <w:sz w:val="24"/>
          <w:szCs w:val="24"/>
          <w:lang w:val="en-GB"/>
        </w:rPr>
        <w:t>int</w:t>
      </w:r>
      <w:r w:rsidR="002278B1">
        <w:rPr>
          <w:rFonts w:ascii="Times New Roman" w:hAnsi="Times New Roman" w:cs="Times New Roman"/>
          <w:sz w:val="24"/>
          <w:szCs w:val="24"/>
          <w:lang w:val="en-GB"/>
        </w:rPr>
        <w:t xml:space="preserve">erest rate to defend the inflation target. This appreciates the currency, with additional adverse profit and </w:t>
      </w:r>
      <w:r w:rsidR="002104DC">
        <w:rPr>
          <w:rFonts w:ascii="Times New Roman" w:hAnsi="Times New Roman" w:cs="Times New Roman"/>
          <w:sz w:val="24"/>
          <w:szCs w:val="24"/>
          <w:lang w:val="en-GB"/>
        </w:rPr>
        <w:t>employment effects in the tradables sector.</w:t>
      </w:r>
    </w:p>
    <w:p w14:paraId="67D150F7" w14:textId="5BAFDE5F" w:rsidR="00A77203" w:rsidRDefault="000872E9" w:rsidP="0043517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One</w:t>
      </w:r>
      <w:r w:rsidR="00A77203">
        <w:rPr>
          <w:rFonts w:ascii="Times New Roman" w:hAnsi="Times New Roman" w:cs="Times New Roman"/>
          <w:sz w:val="24"/>
          <w:szCs w:val="24"/>
          <w:lang w:val="en-GB"/>
        </w:rPr>
        <w:t xml:space="preserve"> could argue that </w:t>
      </w:r>
      <w:r w:rsidR="0097226C">
        <w:rPr>
          <w:rFonts w:ascii="Times New Roman" w:hAnsi="Times New Roman" w:cs="Times New Roman"/>
          <w:sz w:val="24"/>
          <w:szCs w:val="24"/>
          <w:lang w:val="en-GB"/>
        </w:rPr>
        <w:t>under</w:t>
      </w:r>
      <w:r w:rsidR="005C4444">
        <w:rPr>
          <w:rFonts w:ascii="Times New Roman" w:hAnsi="Times New Roman" w:cs="Times New Roman"/>
          <w:sz w:val="24"/>
          <w:szCs w:val="24"/>
          <w:lang w:val="en-GB"/>
        </w:rPr>
        <w:t xml:space="preserve"> inflation</w:t>
      </w:r>
      <w:r w:rsidR="0097226C">
        <w:rPr>
          <w:rFonts w:ascii="Times New Roman" w:hAnsi="Times New Roman" w:cs="Times New Roman"/>
          <w:sz w:val="24"/>
          <w:szCs w:val="24"/>
          <w:lang w:val="en-GB"/>
        </w:rPr>
        <w:t xml:space="preserve"> </w:t>
      </w:r>
      <w:r w:rsidR="005C4444">
        <w:rPr>
          <w:rFonts w:ascii="Times New Roman" w:hAnsi="Times New Roman" w:cs="Times New Roman"/>
          <w:sz w:val="24"/>
          <w:szCs w:val="24"/>
          <w:lang w:val="en-GB"/>
        </w:rPr>
        <w:t xml:space="preserve">targeting, the </w:t>
      </w:r>
      <w:r w:rsidR="008B3895">
        <w:rPr>
          <w:rFonts w:ascii="Times New Roman" w:hAnsi="Times New Roman" w:cs="Times New Roman"/>
          <w:sz w:val="24"/>
          <w:szCs w:val="24"/>
          <w:lang w:val="en-GB"/>
        </w:rPr>
        <w:t>nontradables</w:t>
      </w:r>
      <w:r w:rsidR="005C4444">
        <w:rPr>
          <w:rFonts w:ascii="Times New Roman" w:hAnsi="Times New Roman" w:cs="Times New Roman"/>
          <w:sz w:val="24"/>
          <w:szCs w:val="24"/>
          <w:lang w:val="en-GB"/>
        </w:rPr>
        <w:t xml:space="preserve"> sector, too</w:t>
      </w:r>
      <w:r w:rsidR="008624E2">
        <w:rPr>
          <w:rFonts w:ascii="Times New Roman" w:hAnsi="Times New Roman" w:cs="Times New Roman"/>
          <w:sz w:val="24"/>
          <w:szCs w:val="24"/>
          <w:lang w:val="en-GB"/>
        </w:rPr>
        <w:t>, has strong incentives for wage moderation</w:t>
      </w:r>
      <w:r w:rsidR="009311D1">
        <w:rPr>
          <w:rFonts w:ascii="Times New Roman" w:hAnsi="Times New Roman" w:cs="Times New Roman"/>
          <w:sz w:val="24"/>
          <w:szCs w:val="24"/>
          <w:lang w:val="en-GB"/>
        </w:rPr>
        <w:t xml:space="preserve"> (Calmfors</w:t>
      </w:r>
      <w:r w:rsidR="0012038F">
        <w:rPr>
          <w:rFonts w:ascii="Times New Roman" w:hAnsi="Times New Roman" w:cs="Times New Roman"/>
          <w:sz w:val="24"/>
          <w:szCs w:val="24"/>
          <w:lang w:val="en-GB"/>
        </w:rPr>
        <w:t>, 2008)</w:t>
      </w:r>
      <w:r w:rsidR="00854031">
        <w:rPr>
          <w:rFonts w:ascii="Times New Roman" w:hAnsi="Times New Roman" w:cs="Times New Roman"/>
          <w:sz w:val="24"/>
          <w:szCs w:val="24"/>
          <w:lang w:val="en-GB"/>
        </w:rPr>
        <w:t xml:space="preserve">. </w:t>
      </w:r>
      <w:r w:rsidR="008624E2">
        <w:rPr>
          <w:rFonts w:ascii="Times New Roman" w:hAnsi="Times New Roman" w:cs="Times New Roman"/>
          <w:sz w:val="24"/>
          <w:szCs w:val="24"/>
          <w:lang w:val="en-GB"/>
        </w:rPr>
        <w:t xml:space="preserve"> </w:t>
      </w:r>
      <w:r w:rsidR="00854031">
        <w:rPr>
          <w:rFonts w:ascii="Times New Roman" w:hAnsi="Times New Roman" w:cs="Times New Roman"/>
          <w:sz w:val="24"/>
          <w:szCs w:val="24"/>
          <w:lang w:val="en-GB"/>
        </w:rPr>
        <w:t xml:space="preserve">The reason is that </w:t>
      </w:r>
      <w:r w:rsidR="006041A0">
        <w:rPr>
          <w:rFonts w:ascii="Times New Roman" w:hAnsi="Times New Roman" w:cs="Times New Roman"/>
          <w:sz w:val="24"/>
          <w:szCs w:val="24"/>
          <w:lang w:val="en-GB"/>
        </w:rPr>
        <w:t xml:space="preserve">demand for </w:t>
      </w:r>
      <w:r w:rsidR="00E61260">
        <w:rPr>
          <w:rFonts w:ascii="Times New Roman" w:hAnsi="Times New Roman" w:cs="Times New Roman"/>
          <w:sz w:val="24"/>
          <w:szCs w:val="24"/>
          <w:lang w:val="en-GB"/>
        </w:rPr>
        <w:t>its</w:t>
      </w:r>
      <w:r w:rsidR="006041A0">
        <w:rPr>
          <w:rFonts w:ascii="Times New Roman" w:hAnsi="Times New Roman" w:cs="Times New Roman"/>
          <w:sz w:val="24"/>
          <w:szCs w:val="24"/>
          <w:lang w:val="en-GB"/>
        </w:rPr>
        <w:t xml:space="preserve"> products</w:t>
      </w:r>
      <w:r w:rsidR="0079603B">
        <w:rPr>
          <w:rFonts w:ascii="Times New Roman" w:hAnsi="Times New Roman" w:cs="Times New Roman"/>
          <w:sz w:val="24"/>
          <w:szCs w:val="24"/>
          <w:lang w:val="en-GB"/>
        </w:rPr>
        <w:t xml:space="preserve">, </w:t>
      </w:r>
      <w:r w:rsidR="0079603B">
        <w:rPr>
          <w:rFonts w:ascii="Times New Roman" w:hAnsi="Times New Roman" w:cs="Times New Roman"/>
          <w:sz w:val="24"/>
          <w:szCs w:val="24"/>
          <w:lang w:val="en-GB"/>
        </w:rPr>
        <w:lastRenderedPageBreak/>
        <w:t>and thus prof</w:t>
      </w:r>
      <w:r w:rsidR="00F65A14">
        <w:rPr>
          <w:rFonts w:ascii="Times New Roman" w:hAnsi="Times New Roman" w:cs="Times New Roman"/>
          <w:sz w:val="24"/>
          <w:szCs w:val="24"/>
          <w:lang w:val="en-GB"/>
        </w:rPr>
        <w:t>its</w:t>
      </w:r>
      <w:r w:rsidR="0079603B">
        <w:rPr>
          <w:rFonts w:ascii="Times New Roman" w:hAnsi="Times New Roman" w:cs="Times New Roman"/>
          <w:sz w:val="24"/>
          <w:szCs w:val="24"/>
          <w:lang w:val="en-GB"/>
        </w:rPr>
        <w:t xml:space="preserve"> and employment </w:t>
      </w:r>
      <w:r w:rsidR="00EE42A9">
        <w:rPr>
          <w:rFonts w:ascii="Times New Roman" w:hAnsi="Times New Roman" w:cs="Times New Roman"/>
          <w:sz w:val="24"/>
          <w:szCs w:val="24"/>
          <w:lang w:val="en-GB"/>
        </w:rPr>
        <w:t>in the sector</w:t>
      </w:r>
      <w:r w:rsidR="00E61260">
        <w:rPr>
          <w:rFonts w:ascii="Times New Roman" w:hAnsi="Times New Roman" w:cs="Times New Roman"/>
          <w:sz w:val="24"/>
          <w:szCs w:val="24"/>
          <w:lang w:val="en-GB"/>
        </w:rPr>
        <w:t>,</w:t>
      </w:r>
      <w:r w:rsidR="006041A0">
        <w:rPr>
          <w:rFonts w:ascii="Times New Roman" w:hAnsi="Times New Roman" w:cs="Times New Roman"/>
          <w:sz w:val="24"/>
          <w:szCs w:val="24"/>
          <w:lang w:val="en-GB"/>
        </w:rPr>
        <w:t xml:space="preserve"> </w:t>
      </w:r>
      <w:r w:rsidR="00F65A14">
        <w:rPr>
          <w:rFonts w:ascii="Times New Roman" w:hAnsi="Times New Roman" w:cs="Times New Roman"/>
          <w:sz w:val="24"/>
          <w:szCs w:val="24"/>
          <w:lang w:val="en-GB"/>
        </w:rPr>
        <w:t>are</w:t>
      </w:r>
      <w:r w:rsidR="006041A0">
        <w:rPr>
          <w:rFonts w:ascii="Times New Roman" w:hAnsi="Times New Roman" w:cs="Times New Roman"/>
          <w:sz w:val="24"/>
          <w:szCs w:val="24"/>
          <w:lang w:val="en-GB"/>
        </w:rPr>
        <w:t xml:space="preserve"> negatively affected</w:t>
      </w:r>
      <w:r w:rsidR="001E09E7">
        <w:rPr>
          <w:rFonts w:ascii="Times New Roman" w:hAnsi="Times New Roman" w:cs="Times New Roman"/>
          <w:sz w:val="24"/>
          <w:szCs w:val="24"/>
          <w:lang w:val="en-GB"/>
        </w:rPr>
        <w:t xml:space="preserve"> by interest</w:t>
      </w:r>
      <w:r w:rsidR="00E61260">
        <w:rPr>
          <w:rFonts w:ascii="Times New Roman" w:hAnsi="Times New Roman" w:cs="Times New Roman"/>
          <w:sz w:val="24"/>
          <w:szCs w:val="24"/>
          <w:lang w:val="en-GB"/>
        </w:rPr>
        <w:t xml:space="preserve"> rate</w:t>
      </w:r>
      <w:r w:rsidR="001E09E7">
        <w:rPr>
          <w:rFonts w:ascii="Times New Roman" w:hAnsi="Times New Roman" w:cs="Times New Roman"/>
          <w:sz w:val="24"/>
          <w:szCs w:val="24"/>
          <w:lang w:val="en-GB"/>
        </w:rPr>
        <w:t xml:space="preserve"> rises aimed at </w:t>
      </w:r>
      <w:r w:rsidR="0099266B">
        <w:rPr>
          <w:rFonts w:ascii="Times New Roman" w:hAnsi="Times New Roman" w:cs="Times New Roman"/>
          <w:sz w:val="24"/>
          <w:szCs w:val="24"/>
          <w:lang w:val="en-GB"/>
        </w:rPr>
        <w:t xml:space="preserve">counteracting </w:t>
      </w:r>
      <w:r w:rsidR="00572E84">
        <w:rPr>
          <w:rFonts w:ascii="Times New Roman" w:hAnsi="Times New Roman" w:cs="Times New Roman"/>
          <w:sz w:val="24"/>
          <w:szCs w:val="24"/>
          <w:lang w:val="en-GB"/>
        </w:rPr>
        <w:t>deviations from the inflation target</w:t>
      </w:r>
      <w:r w:rsidR="00645D50">
        <w:rPr>
          <w:rFonts w:ascii="Times New Roman" w:hAnsi="Times New Roman" w:cs="Times New Roman"/>
          <w:sz w:val="24"/>
          <w:szCs w:val="24"/>
          <w:lang w:val="en-GB"/>
        </w:rPr>
        <w:t xml:space="preserve">. </w:t>
      </w:r>
      <w:r w:rsidR="00FB50B2">
        <w:rPr>
          <w:rFonts w:ascii="Times New Roman" w:hAnsi="Times New Roman" w:cs="Times New Roman"/>
          <w:sz w:val="24"/>
          <w:szCs w:val="24"/>
          <w:lang w:val="en-GB"/>
        </w:rPr>
        <w:t>This channel</w:t>
      </w:r>
      <w:r w:rsidR="005278AB">
        <w:rPr>
          <w:rFonts w:ascii="Times New Roman" w:hAnsi="Times New Roman" w:cs="Times New Roman"/>
          <w:sz w:val="24"/>
          <w:szCs w:val="24"/>
          <w:lang w:val="en-GB"/>
        </w:rPr>
        <w:t xml:space="preserve"> may be more </w:t>
      </w:r>
      <w:r w:rsidR="00BF4B0C">
        <w:rPr>
          <w:rFonts w:ascii="Times New Roman" w:hAnsi="Times New Roman" w:cs="Times New Roman"/>
          <w:sz w:val="24"/>
          <w:szCs w:val="24"/>
          <w:lang w:val="en-GB"/>
        </w:rPr>
        <w:t xml:space="preserve">certain than the exchange rate channel </w:t>
      </w:r>
      <w:r w:rsidR="00497840">
        <w:rPr>
          <w:rFonts w:ascii="Times New Roman" w:hAnsi="Times New Roman" w:cs="Times New Roman"/>
          <w:sz w:val="24"/>
          <w:szCs w:val="24"/>
          <w:lang w:val="en-GB"/>
        </w:rPr>
        <w:t xml:space="preserve">discussed in the previous </w:t>
      </w:r>
      <w:r w:rsidR="00C53669">
        <w:rPr>
          <w:rFonts w:ascii="Times New Roman" w:hAnsi="Times New Roman" w:cs="Times New Roman"/>
          <w:sz w:val="24"/>
          <w:szCs w:val="24"/>
          <w:lang w:val="en-GB"/>
        </w:rPr>
        <w:t>paragraph.</w:t>
      </w:r>
      <w:r w:rsidR="009670BD">
        <w:rPr>
          <w:rStyle w:val="FootnoteReference"/>
          <w:rFonts w:ascii="Times New Roman" w:hAnsi="Times New Roman" w:cs="Times New Roman"/>
          <w:sz w:val="24"/>
          <w:szCs w:val="24"/>
          <w:lang w:val="en-GB"/>
        </w:rPr>
        <w:footnoteReference w:id="22"/>
      </w:r>
      <w:r w:rsidR="00F237A9">
        <w:rPr>
          <w:rFonts w:ascii="Times New Roman" w:hAnsi="Times New Roman" w:cs="Times New Roman"/>
          <w:sz w:val="24"/>
          <w:szCs w:val="24"/>
          <w:lang w:val="en-GB"/>
        </w:rPr>
        <w:t xml:space="preserve"> </w:t>
      </w:r>
      <w:r w:rsidR="00603FD7">
        <w:rPr>
          <w:rFonts w:ascii="Times New Roman" w:hAnsi="Times New Roman" w:cs="Times New Roman"/>
          <w:sz w:val="24"/>
          <w:szCs w:val="24"/>
          <w:lang w:val="en-GB"/>
        </w:rPr>
        <w:t xml:space="preserve">As </w:t>
      </w:r>
      <w:r w:rsidR="00F202D6">
        <w:rPr>
          <w:rFonts w:ascii="Times New Roman" w:hAnsi="Times New Roman" w:cs="Times New Roman"/>
          <w:sz w:val="24"/>
          <w:szCs w:val="24"/>
          <w:lang w:val="en-GB"/>
        </w:rPr>
        <w:t>a hig</w:t>
      </w:r>
      <w:r w:rsidR="008D174A">
        <w:rPr>
          <w:rFonts w:ascii="Times New Roman" w:hAnsi="Times New Roman" w:cs="Times New Roman"/>
          <w:sz w:val="24"/>
          <w:szCs w:val="24"/>
          <w:lang w:val="en-GB"/>
        </w:rPr>
        <w:t>her</w:t>
      </w:r>
      <w:r w:rsidR="00F202D6">
        <w:rPr>
          <w:rFonts w:ascii="Times New Roman" w:hAnsi="Times New Roman" w:cs="Times New Roman"/>
          <w:sz w:val="24"/>
          <w:szCs w:val="24"/>
          <w:lang w:val="en-GB"/>
        </w:rPr>
        <w:t xml:space="preserve"> price level </w:t>
      </w:r>
      <w:r w:rsidR="00367B58">
        <w:rPr>
          <w:rFonts w:ascii="Times New Roman" w:hAnsi="Times New Roman" w:cs="Times New Roman"/>
          <w:sz w:val="24"/>
          <w:szCs w:val="24"/>
          <w:lang w:val="en-GB"/>
        </w:rPr>
        <w:t xml:space="preserve">in </w:t>
      </w:r>
      <w:r w:rsidR="0034382E">
        <w:rPr>
          <w:rFonts w:ascii="Times New Roman" w:hAnsi="Times New Roman" w:cs="Times New Roman"/>
          <w:sz w:val="24"/>
          <w:szCs w:val="24"/>
          <w:lang w:val="en-GB"/>
        </w:rPr>
        <w:t>itself</w:t>
      </w:r>
      <w:r w:rsidR="00367B58">
        <w:rPr>
          <w:rFonts w:ascii="Times New Roman" w:hAnsi="Times New Roman" w:cs="Times New Roman"/>
          <w:sz w:val="24"/>
          <w:szCs w:val="24"/>
          <w:lang w:val="en-GB"/>
        </w:rPr>
        <w:t xml:space="preserve"> tends to </w:t>
      </w:r>
      <w:r w:rsidR="0034382E">
        <w:rPr>
          <w:rFonts w:ascii="Times New Roman" w:hAnsi="Times New Roman" w:cs="Times New Roman"/>
          <w:sz w:val="24"/>
          <w:szCs w:val="24"/>
          <w:lang w:val="en-GB"/>
        </w:rPr>
        <w:t>weaken the</w:t>
      </w:r>
      <w:r w:rsidR="000503FA">
        <w:rPr>
          <w:rFonts w:ascii="Times New Roman" w:hAnsi="Times New Roman" w:cs="Times New Roman"/>
          <w:sz w:val="24"/>
          <w:szCs w:val="24"/>
          <w:lang w:val="en-GB"/>
        </w:rPr>
        <w:t xml:space="preserve"> currency, one cannot rest assured that the combination of hig</w:t>
      </w:r>
      <w:r w:rsidR="008D174A">
        <w:rPr>
          <w:rFonts w:ascii="Times New Roman" w:hAnsi="Times New Roman" w:cs="Times New Roman"/>
          <w:sz w:val="24"/>
          <w:szCs w:val="24"/>
          <w:lang w:val="en-GB"/>
        </w:rPr>
        <w:t>her</w:t>
      </w:r>
      <w:r w:rsidR="000503FA">
        <w:rPr>
          <w:rFonts w:ascii="Times New Roman" w:hAnsi="Times New Roman" w:cs="Times New Roman"/>
          <w:sz w:val="24"/>
          <w:szCs w:val="24"/>
          <w:lang w:val="en-GB"/>
        </w:rPr>
        <w:t xml:space="preserve"> inflation and </w:t>
      </w:r>
      <w:r w:rsidR="00511C43">
        <w:rPr>
          <w:rFonts w:ascii="Times New Roman" w:hAnsi="Times New Roman" w:cs="Times New Roman"/>
          <w:sz w:val="24"/>
          <w:szCs w:val="24"/>
          <w:lang w:val="en-GB"/>
        </w:rPr>
        <w:t xml:space="preserve">interest rate </w:t>
      </w:r>
      <w:r w:rsidR="003B7E3E">
        <w:rPr>
          <w:rFonts w:ascii="Times New Roman" w:hAnsi="Times New Roman" w:cs="Times New Roman"/>
          <w:sz w:val="24"/>
          <w:szCs w:val="24"/>
          <w:lang w:val="en-GB"/>
        </w:rPr>
        <w:t>hikes to</w:t>
      </w:r>
      <w:r w:rsidR="00511C43">
        <w:rPr>
          <w:rFonts w:ascii="Times New Roman" w:hAnsi="Times New Roman" w:cs="Times New Roman"/>
          <w:sz w:val="24"/>
          <w:szCs w:val="24"/>
          <w:lang w:val="en-GB"/>
        </w:rPr>
        <w:t xml:space="preserve"> counter it cause</w:t>
      </w:r>
      <w:r w:rsidR="00920ADB">
        <w:rPr>
          <w:rFonts w:ascii="Times New Roman" w:hAnsi="Times New Roman" w:cs="Times New Roman"/>
          <w:sz w:val="24"/>
          <w:szCs w:val="24"/>
          <w:lang w:val="en-GB"/>
        </w:rPr>
        <w:t>s</w:t>
      </w:r>
      <w:r w:rsidR="00511C43">
        <w:rPr>
          <w:rFonts w:ascii="Times New Roman" w:hAnsi="Times New Roman" w:cs="Times New Roman"/>
          <w:sz w:val="24"/>
          <w:szCs w:val="24"/>
          <w:lang w:val="en-GB"/>
        </w:rPr>
        <w:t xml:space="preserve"> </w:t>
      </w:r>
      <w:r w:rsidR="00A10F13">
        <w:rPr>
          <w:rFonts w:ascii="Times New Roman" w:hAnsi="Times New Roman" w:cs="Times New Roman"/>
          <w:sz w:val="24"/>
          <w:szCs w:val="24"/>
          <w:lang w:val="en-GB"/>
        </w:rPr>
        <w:t>the exchange rate to appreciate rat</w:t>
      </w:r>
      <w:r w:rsidR="008D174A">
        <w:rPr>
          <w:rFonts w:ascii="Times New Roman" w:hAnsi="Times New Roman" w:cs="Times New Roman"/>
          <w:sz w:val="24"/>
          <w:szCs w:val="24"/>
          <w:lang w:val="en-GB"/>
        </w:rPr>
        <w:t>her</w:t>
      </w:r>
      <w:r w:rsidR="00A10F13">
        <w:rPr>
          <w:rFonts w:ascii="Times New Roman" w:hAnsi="Times New Roman" w:cs="Times New Roman"/>
          <w:sz w:val="24"/>
          <w:szCs w:val="24"/>
          <w:lang w:val="en-GB"/>
        </w:rPr>
        <w:t xml:space="preserve"> than depreciate.</w:t>
      </w:r>
      <w:r w:rsidR="00A10F13">
        <w:rPr>
          <w:rStyle w:val="FootnoteReference"/>
          <w:rFonts w:ascii="Times New Roman" w:hAnsi="Times New Roman" w:cs="Times New Roman"/>
          <w:sz w:val="24"/>
          <w:szCs w:val="24"/>
          <w:lang w:val="en-GB"/>
        </w:rPr>
        <w:footnoteReference w:id="23"/>
      </w:r>
      <w:r w:rsidR="00572E84">
        <w:rPr>
          <w:rFonts w:ascii="Times New Roman" w:hAnsi="Times New Roman" w:cs="Times New Roman"/>
          <w:sz w:val="24"/>
          <w:szCs w:val="24"/>
          <w:lang w:val="en-GB"/>
        </w:rPr>
        <w:t xml:space="preserve"> </w:t>
      </w:r>
    </w:p>
    <w:p w14:paraId="35507C2B" w14:textId="01B6C504" w:rsidR="00D82BF7" w:rsidRDefault="000C7982" w:rsidP="00D82BF7">
      <w:pPr>
        <w:pStyle w:val="Heading2"/>
        <w:rPr>
          <w:lang w:val="en-GB"/>
        </w:rPr>
      </w:pPr>
      <w:r>
        <w:rPr>
          <w:lang w:val="en-GB"/>
        </w:rPr>
        <w:t>5</w:t>
      </w:r>
      <w:r w:rsidR="00CE407C">
        <w:rPr>
          <w:lang w:val="en-GB"/>
        </w:rPr>
        <w:t xml:space="preserve">.2 </w:t>
      </w:r>
      <w:r w:rsidR="007D4314">
        <w:rPr>
          <w:lang w:val="en-GB"/>
        </w:rPr>
        <w:t>Formal analysis</w:t>
      </w:r>
    </w:p>
    <w:p w14:paraId="4D978F01" w14:textId="357A91F8" w:rsidR="00C906B9" w:rsidRDefault="00DB79AE" w:rsidP="00C3277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w:t>
      </w:r>
      <w:r w:rsidR="001A10F6">
        <w:rPr>
          <w:rFonts w:ascii="Times New Roman" w:hAnsi="Times New Roman" w:cs="Times New Roman"/>
          <w:sz w:val="24"/>
          <w:szCs w:val="24"/>
          <w:lang w:val="en-GB"/>
        </w:rPr>
        <w:t xml:space="preserve">nformal reasoning </w:t>
      </w:r>
      <w:r>
        <w:rPr>
          <w:rFonts w:ascii="Times New Roman" w:hAnsi="Times New Roman" w:cs="Times New Roman"/>
          <w:sz w:val="24"/>
          <w:szCs w:val="24"/>
          <w:lang w:val="en-GB"/>
        </w:rPr>
        <w:t>cannot</w:t>
      </w:r>
      <w:r w:rsidR="00C32770">
        <w:rPr>
          <w:rFonts w:ascii="Times New Roman" w:hAnsi="Times New Roman" w:cs="Times New Roman"/>
          <w:sz w:val="24"/>
          <w:szCs w:val="24"/>
          <w:lang w:val="en-GB"/>
        </w:rPr>
        <w:t xml:space="preserve"> capture more complex interactions between </w:t>
      </w:r>
      <w:r w:rsidR="00061786">
        <w:rPr>
          <w:rFonts w:ascii="Times New Roman" w:hAnsi="Times New Roman" w:cs="Times New Roman"/>
          <w:sz w:val="24"/>
          <w:szCs w:val="24"/>
          <w:lang w:val="en-GB"/>
        </w:rPr>
        <w:t xml:space="preserve">sectors. For example, </w:t>
      </w:r>
      <w:r>
        <w:rPr>
          <w:rFonts w:ascii="Times New Roman" w:hAnsi="Times New Roman" w:cs="Times New Roman"/>
          <w:sz w:val="24"/>
          <w:szCs w:val="24"/>
          <w:lang w:val="en-GB"/>
        </w:rPr>
        <w:t xml:space="preserve">since </w:t>
      </w:r>
      <w:r w:rsidR="009F06B5">
        <w:rPr>
          <w:rFonts w:ascii="Times New Roman" w:hAnsi="Times New Roman" w:cs="Times New Roman"/>
          <w:sz w:val="24"/>
          <w:szCs w:val="24"/>
          <w:lang w:val="en-GB"/>
        </w:rPr>
        <w:t>wages</w:t>
      </w:r>
      <w:r w:rsidR="00A85FB9">
        <w:rPr>
          <w:rFonts w:ascii="Times New Roman" w:hAnsi="Times New Roman" w:cs="Times New Roman"/>
          <w:sz w:val="24"/>
          <w:szCs w:val="24"/>
          <w:lang w:val="en-GB"/>
        </w:rPr>
        <w:t xml:space="preserve"> in the tradables sector affect out</w:t>
      </w:r>
      <w:r w:rsidR="008155F4">
        <w:rPr>
          <w:rFonts w:ascii="Times New Roman" w:hAnsi="Times New Roman" w:cs="Times New Roman"/>
          <w:sz w:val="24"/>
          <w:szCs w:val="24"/>
          <w:lang w:val="en-GB"/>
        </w:rPr>
        <w:t>put</w:t>
      </w:r>
      <w:r w:rsidR="00DA4A81">
        <w:rPr>
          <w:rFonts w:ascii="Times New Roman" w:hAnsi="Times New Roman" w:cs="Times New Roman"/>
          <w:sz w:val="24"/>
          <w:szCs w:val="24"/>
          <w:lang w:val="en-GB"/>
        </w:rPr>
        <w:t xml:space="preserve"> and </w:t>
      </w:r>
      <w:r w:rsidR="0044637F">
        <w:rPr>
          <w:rFonts w:ascii="Times New Roman" w:hAnsi="Times New Roman" w:cs="Times New Roman"/>
          <w:sz w:val="24"/>
          <w:szCs w:val="24"/>
          <w:lang w:val="en-GB"/>
        </w:rPr>
        <w:t>income</w:t>
      </w:r>
      <w:r w:rsidR="008155F4">
        <w:rPr>
          <w:rFonts w:ascii="Times New Roman" w:hAnsi="Times New Roman" w:cs="Times New Roman"/>
          <w:sz w:val="24"/>
          <w:szCs w:val="24"/>
          <w:lang w:val="en-GB"/>
        </w:rPr>
        <w:t xml:space="preserve"> t</w:t>
      </w:r>
      <w:r w:rsidR="008D174A">
        <w:rPr>
          <w:rFonts w:ascii="Times New Roman" w:hAnsi="Times New Roman" w:cs="Times New Roman"/>
          <w:sz w:val="24"/>
          <w:szCs w:val="24"/>
          <w:lang w:val="en-GB"/>
        </w:rPr>
        <w:t>her</w:t>
      </w:r>
      <w:r w:rsidR="008155F4">
        <w:rPr>
          <w:rFonts w:ascii="Times New Roman" w:hAnsi="Times New Roman" w:cs="Times New Roman"/>
          <w:sz w:val="24"/>
          <w:szCs w:val="24"/>
          <w:lang w:val="en-GB"/>
        </w:rPr>
        <w:t xml:space="preserve">e, </w:t>
      </w:r>
      <w:r w:rsidR="00B6422A">
        <w:rPr>
          <w:rFonts w:ascii="Times New Roman" w:hAnsi="Times New Roman" w:cs="Times New Roman"/>
          <w:sz w:val="24"/>
          <w:szCs w:val="24"/>
          <w:lang w:val="en-GB"/>
        </w:rPr>
        <w:t xml:space="preserve">demand </w:t>
      </w:r>
      <w:r w:rsidR="00EE57DF">
        <w:rPr>
          <w:rFonts w:ascii="Times New Roman" w:hAnsi="Times New Roman" w:cs="Times New Roman"/>
          <w:sz w:val="24"/>
          <w:szCs w:val="24"/>
          <w:lang w:val="en-GB"/>
        </w:rPr>
        <w:t>for</w:t>
      </w:r>
      <w:r w:rsidR="00B6422A">
        <w:rPr>
          <w:rFonts w:ascii="Times New Roman" w:hAnsi="Times New Roman" w:cs="Times New Roman"/>
          <w:sz w:val="24"/>
          <w:szCs w:val="24"/>
          <w:lang w:val="en-GB"/>
        </w:rPr>
        <w:t xml:space="preserve"> </w:t>
      </w:r>
      <w:r w:rsidR="008B3895">
        <w:rPr>
          <w:rFonts w:ascii="Times New Roman" w:hAnsi="Times New Roman" w:cs="Times New Roman"/>
          <w:sz w:val="24"/>
          <w:szCs w:val="24"/>
          <w:lang w:val="en-GB"/>
        </w:rPr>
        <w:t>nontradables</w:t>
      </w:r>
      <w:r w:rsidR="00EE57DF">
        <w:rPr>
          <w:rFonts w:ascii="Times New Roman" w:hAnsi="Times New Roman" w:cs="Times New Roman"/>
          <w:sz w:val="24"/>
          <w:szCs w:val="24"/>
          <w:lang w:val="en-GB"/>
        </w:rPr>
        <w:t xml:space="preserve">, and thus </w:t>
      </w:r>
      <w:r w:rsidR="00FF1D80">
        <w:rPr>
          <w:rFonts w:ascii="Times New Roman" w:hAnsi="Times New Roman" w:cs="Times New Roman"/>
          <w:sz w:val="24"/>
          <w:szCs w:val="24"/>
          <w:lang w:val="en-GB"/>
        </w:rPr>
        <w:t>their price</w:t>
      </w:r>
      <w:r w:rsidR="001B6AA5">
        <w:rPr>
          <w:rFonts w:ascii="Times New Roman" w:hAnsi="Times New Roman" w:cs="Times New Roman"/>
          <w:sz w:val="24"/>
          <w:szCs w:val="24"/>
          <w:lang w:val="en-GB"/>
        </w:rPr>
        <w:t>s</w:t>
      </w:r>
      <w:r w:rsidR="00FF1D80">
        <w:rPr>
          <w:rFonts w:ascii="Times New Roman" w:hAnsi="Times New Roman" w:cs="Times New Roman"/>
          <w:sz w:val="24"/>
          <w:szCs w:val="24"/>
          <w:lang w:val="en-GB"/>
        </w:rPr>
        <w:t xml:space="preserve"> </w:t>
      </w:r>
      <w:r w:rsidR="001B6AA5">
        <w:rPr>
          <w:rFonts w:ascii="Times New Roman" w:hAnsi="Times New Roman" w:cs="Times New Roman"/>
          <w:sz w:val="24"/>
          <w:szCs w:val="24"/>
          <w:lang w:val="en-GB"/>
        </w:rPr>
        <w:t>are</w:t>
      </w:r>
      <w:r w:rsidR="00FF1D80">
        <w:rPr>
          <w:rFonts w:ascii="Times New Roman" w:hAnsi="Times New Roman" w:cs="Times New Roman"/>
          <w:sz w:val="24"/>
          <w:szCs w:val="24"/>
          <w:lang w:val="en-GB"/>
        </w:rPr>
        <w:t xml:space="preserve"> influenced, which in turn </w:t>
      </w:r>
      <w:r w:rsidR="00AB59CB">
        <w:rPr>
          <w:rFonts w:ascii="Times New Roman" w:hAnsi="Times New Roman" w:cs="Times New Roman"/>
          <w:sz w:val="24"/>
          <w:szCs w:val="24"/>
          <w:lang w:val="en-GB"/>
        </w:rPr>
        <w:t>has consequences for the purchasing power of wages</w:t>
      </w:r>
      <w:r w:rsidR="00606276">
        <w:rPr>
          <w:rFonts w:ascii="Times New Roman" w:hAnsi="Times New Roman" w:cs="Times New Roman"/>
          <w:sz w:val="24"/>
          <w:szCs w:val="24"/>
          <w:lang w:val="en-GB"/>
        </w:rPr>
        <w:t xml:space="preserve"> and </w:t>
      </w:r>
      <w:r w:rsidR="0044637F">
        <w:rPr>
          <w:rFonts w:ascii="Times New Roman" w:hAnsi="Times New Roman" w:cs="Times New Roman"/>
          <w:sz w:val="24"/>
          <w:szCs w:val="24"/>
          <w:lang w:val="en-GB"/>
        </w:rPr>
        <w:t>profits</w:t>
      </w:r>
      <w:r w:rsidR="00AB59CB">
        <w:rPr>
          <w:rFonts w:ascii="Times New Roman" w:hAnsi="Times New Roman" w:cs="Times New Roman"/>
          <w:sz w:val="24"/>
          <w:szCs w:val="24"/>
          <w:lang w:val="en-GB"/>
        </w:rPr>
        <w:t xml:space="preserve"> in the tradables sector</w:t>
      </w:r>
      <w:r w:rsidR="007E0E92">
        <w:rPr>
          <w:rFonts w:ascii="Times New Roman" w:hAnsi="Times New Roman" w:cs="Times New Roman"/>
          <w:sz w:val="24"/>
          <w:szCs w:val="24"/>
          <w:lang w:val="en-GB"/>
        </w:rPr>
        <w:t xml:space="preserve">. </w:t>
      </w:r>
      <w:r w:rsidR="000E725A">
        <w:rPr>
          <w:rFonts w:ascii="Times New Roman" w:hAnsi="Times New Roman" w:cs="Times New Roman"/>
          <w:sz w:val="24"/>
          <w:szCs w:val="24"/>
          <w:lang w:val="en-GB"/>
        </w:rPr>
        <w:t>Also,</w:t>
      </w:r>
      <w:r w:rsidR="00701221">
        <w:rPr>
          <w:rFonts w:ascii="Times New Roman" w:hAnsi="Times New Roman" w:cs="Times New Roman"/>
          <w:sz w:val="24"/>
          <w:szCs w:val="24"/>
          <w:lang w:val="en-GB"/>
        </w:rPr>
        <w:t xml:space="preserve"> wage changes in the </w:t>
      </w:r>
      <w:r w:rsidR="008B3895">
        <w:rPr>
          <w:rFonts w:ascii="Times New Roman" w:hAnsi="Times New Roman" w:cs="Times New Roman"/>
          <w:sz w:val="24"/>
          <w:szCs w:val="24"/>
          <w:lang w:val="en-GB"/>
        </w:rPr>
        <w:t>nontradables</w:t>
      </w:r>
      <w:r w:rsidR="00701221">
        <w:rPr>
          <w:rFonts w:ascii="Times New Roman" w:hAnsi="Times New Roman" w:cs="Times New Roman"/>
          <w:sz w:val="24"/>
          <w:szCs w:val="24"/>
          <w:lang w:val="en-GB"/>
        </w:rPr>
        <w:t xml:space="preserve"> sector</w:t>
      </w:r>
      <w:r w:rsidR="00606276">
        <w:rPr>
          <w:rFonts w:ascii="Times New Roman" w:hAnsi="Times New Roman" w:cs="Times New Roman"/>
          <w:sz w:val="24"/>
          <w:szCs w:val="24"/>
          <w:lang w:val="en-GB"/>
        </w:rPr>
        <w:t xml:space="preserve">, by affecting </w:t>
      </w:r>
      <w:r w:rsidR="001B6AA5">
        <w:rPr>
          <w:rFonts w:ascii="Times New Roman" w:hAnsi="Times New Roman" w:cs="Times New Roman"/>
          <w:sz w:val="24"/>
          <w:szCs w:val="24"/>
          <w:lang w:val="en-GB"/>
        </w:rPr>
        <w:t>prices t</w:t>
      </w:r>
      <w:r w:rsidR="008D174A">
        <w:rPr>
          <w:rFonts w:ascii="Times New Roman" w:hAnsi="Times New Roman" w:cs="Times New Roman"/>
          <w:sz w:val="24"/>
          <w:szCs w:val="24"/>
          <w:lang w:val="en-GB"/>
        </w:rPr>
        <w:t>her</w:t>
      </w:r>
      <w:r w:rsidR="001B6AA5">
        <w:rPr>
          <w:rFonts w:ascii="Times New Roman" w:hAnsi="Times New Roman" w:cs="Times New Roman"/>
          <w:sz w:val="24"/>
          <w:szCs w:val="24"/>
          <w:lang w:val="en-GB"/>
        </w:rPr>
        <w:t>e</w:t>
      </w:r>
      <w:r w:rsidR="000D4BEA">
        <w:rPr>
          <w:rFonts w:ascii="Times New Roman" w:hAnsi="Times New Roman" w:cs="Times New Roman"/>
          <w:sz w:val="24"/>
          <w:szCs w:val="24"/>
          <w:lang w:val="en-GB"/>
        </w:rPr>
        <w:t xml:space="preserve">, raise production costs </w:t>
      </w:r>
      <w:r w:rsidR="00693273">
        <w:rPr>
          <w:rFonts w:ascii="Times New Roman" w:hAnsi="Times New Roman" w:cs="Times New Roman"/>
          <w:sz w:val="24"/>
          <w:szCs w:val="24"/>
          <w:lang w:val="en-GB"/>
        </w:rPr>
        <w:t xml:space="preserve">in </w:t>
      </w:r>
      <w:r w:rsidR="00C155D4">
        <w:rPr>
          <w:rFonts w:ascii="Times New Roman" w:hAnsi="Times New Roman" w:cs="Times New Roman"/>
          <w:sz w:val="24"/>
          <w:szCs w:val="24"/>
          <w:lang w:val="en-GB"/>
        </w:rPr>
        <w:t xml:space="preserve">the tradables sector if it uses </w:t>
      </w:r>
      <w:r w:rsidR="008B3895">
        <w:rPr>
          <w:rFonts w:ascii="Times New Roman" w:hAnsi="Times New Roman" w:cs="Times New Roman"/>
          <w:sz w:val="24"/>
          <w:szCs w:val="24"/>
          <w:lang w:val="en-GB"/>
        </w:rPr>
        <w:t>nontradables</w:t>
      </w:r>
      <w:r w:rsidR="00C155D4">
        <w:rPr>
          <w:rFonts w:ascii="Times New Roman" w:hAnsi="Times New Roman" w:cs="Times New Roman"/>
          <w:sz w:val="24"/>
          <w:szCs w:val="24"/>
          <w:lang w:val="en-GB"/>
        </w:rPr>
        <w:t xml:space="preserve"> </w:t>
      </w:r>
      <w:r w:rsidR="003B019A">
        <w:rPr>
          <w:rFonts w:ascii="Times New Roman" w:hAnsi="Times New Roman" w:cs="Times New Roman"/>
          <w:sz w:val="24"/>
          <w:szCs w:val="24"/>
          <w:lang w:val="en-GB"/>
        </w:rPr>
        <w:t>as inputs</w:t>
      </w:r>
      <w:r w:rsidR="00D91C6A">
        <w:rPr>
          <w:rFonts w:ascii="Times New Roman" w:hAnsi="Times New Roman" w:cs="Times New Roman"/>
          <w:sz w:val="24"/>
          <w:szCs w:val="24"/>
          <w:lang w:val="en-GB"/>
        </w:rPr>
        <w:t>.</w:t>
      </w:r>
      <w:r w:rsidR="003B019A">
        <w:rPr>
          <w:rFonts w:ascii="Times New Roman" w:hAnsi="Times New Roman" w:cs="Times New Roman"/>
          <w:sz w:val="24"/>
          <w:szCs w:val="24"/>
          <w:lang w:val="en-GB"/>
        </w:rPr>
        <w:t xml:space="preserve"> </w:t>
      </w:r>
      <w:r w:rsidR="00D91C6A">
        <w:rPr>
          <w:rFonts w:ascii="Times New Roman" w:hAnsi="Times New Roman" w:cs="Times New Roman"/>
          <w:sz w:val="24"/>
          <w:szCs w:val="24"/>
          <w:lang w:val="en-GB"/>
        </w:rPr>
        <w:t>This</w:t>
      </w:r>
      <w:r w:rsidR="003B019A">
        <w:rPr>
          <w:rFonts w:ascii="Times New Roman" w:hAnsi="Times New Roman" w:cs="Times New Roman"/>
          <w:sz w:val="24"/>
          <w:szCs w:val="24"/>
          <w:lang w:val="en-GB"/>
        </w:rPr>
        <w:t xml:space="preserve"> in turn lower</w:t>
      </w:r>
      <w:r w:rsidR="000E725A">
        <w:rPr>
          <w:rFonts w:ascii="Times New Roman" w:hAnsi="Times New Roman" w:cs="Times New Roman"/>
          <w:sz w:val="24"/>
          <w:szCs w:val="24"/>
          <w:lang w:val="en-GB"/>
        </w:rPr>
        <w:t>s</w:t>
      </w:r>
      <w:r w:rsidR="003B019A">
        <w:rPr>
          <w:rFonts w:ascii="Times New Roman" w:hAnsi="Times New Roman" w:cs="Times New Roman"/>
          <w:sz w:val="24"/>
          <w:szCs w:val="24"/>
          <w:lang w:val="en-GB"/>
        </w:rPr>
        <w:t xml:space="preserve"> </w:t>
      </w:r>
      <w:r w:rsidR="00D16654">
        <w:rPr>
          <w:rFonts w:ascii="Times New Roman" w:hAnsi="Times New Roman" w:cs="Times New Roman"/>
          <w:sz w:val="24"/>
          <w:szCs w:val="24"/>
          <w:lang w:val="en-GB"/>
        </w:rPr>
        <w:t xml:space="preserve">output </w:t>
      </w:r>
      <w:r w:rsidR="00305B2F">
        <w:rPr>
          <w:rFonts w:ascii="Times New Roman" w:hAnsi="Times New Roman" w:cs="Times New Roman"/>
          <w:sz w:val="24"/>
          <w:szCs w:val="24"/>
          <w:lang w:val="en-GB"/>
        </w:rPr>
        <w:t>of tradables</w:t>
      </w:r>
      <w:r w:rsidR="00D16654">
        <w:rPr>
          <w:rFonts w:ascii="Times New Roman" w:hAnsi="Times New Roman" w:cs="Times New Roman"/>
          <w:sz w:val="24"/>
          <w:szCs w:val="24"/>
          <w:lang w:val="en-GB"/>
        </w:rPr>
        <w:t xml:space="preserve"> and </w:t>
      </w:r>
      <w:r w:rsidR="00A54D5D">
        <w:rPr>
          <w:rFonts w:ascii="Times New Roman" w:hAnsi="Times New Roman" w:cs="Times New Roman"/>
          <w:sz w:val="24"/>
          <w:szCs w:val="24"/>
          <w:lang w:val="en-GB"/>
        </w:rPr>
        <w:t xml:space="preserve">thus </w:t>
      </w:r>
      <w:r w:rsidR="00D16654">
        <w:rPr>
          <w:rFonts w:ascii="Times New Roman" w:hAnsi="Times New Roman" w:cs="Times New Roman"/>
          <w:sz w:val="24"/>
          <w:szCs w:val="24"/>
          <w:lang w:val="en-GB"/>
        </w:rPr>
        <w:t xml:space="preserve">has repercussions for the demand </w:t>
      </w:r>
      <w:r w:rsidR="00A54D5D">
        <w:rPr>
          <w:rFonts w:ascii="Times New Roman" w:hAnsi="Times New Roman" w:cs="Times New Roman"/>
          <w:sz w:val="24"/>
          <w:szCs w:val="24"/>
          <w:lang w:val="en-GB"/>
        </w:rPr>
        <w:t xml:space="preserve">for </w:t>
      </w:r>
      <w:r w:rsidR="008B3895">
        <w:rPr>
          <w:rFonts w:ascii="Times New Roman" w:hAnsi="Times New Roman" w:cs="Times New Roman"/>
          <w:sz w:val="24"/>
          <w:szCs w:val="24"/>
          <w:lang w:val="en-GB"/>
        </w:rPr>
        <w:t>nontradables</w:t>
      </w:r>
      <w:r w:rsidR="00A54D5D">
        <w:rPr>
          <w:rFonts w:ascii="Times New Roman" w:hAnsi="Times New Roman" w:cs="Times New Roman"/>
          <w:sz w:val="24"/>
          <w:szCs w:val="24"/>
          <w:lang w:val="en-GB"/>
        </w:rPr>
        <w:t xml:space="preserve">. To capture </w:t>
      </w:r>
      <w:r w:rsidR="000E725A">
        <w:rPr>
          <w:rFonts w:ascii="Times New Roman" w:hAnsi="Times New Roman" w:cs="Times New Roman"/>
          <w:sz w:val="24"/>
          <w:szCs w:val="24"/>
          <w:lang w:val="en-GB"/>
        </w:rPr>
        <w:t>such</w:t>
      </w:r>
      <w:r w:rsidR="00A54D5D">
        <w:rPr>
          <w:rFonts w:ascii="Times New Roman" w:hAnsi="Times New Roman" w:cs="Times New Roman"/>
          <w:sz w:val="24"/>
          <w:szCs w:val="24"/>
          <w:lang w:val="en-GB"/>
        </w:rPr>
        <w:t xml:space="preserve"> interactions</w:t>
      </w:r>
      <w:r w:rsidR="00C906B9">
        <w:rPr>
          <w:rFonts w:ascii="Times New Roman" w:hAnsi="Times New Roman" w:cs="Times New Roman"/>
          <w:sz w:val="24"/>
          <w:szCs w:val="24"/>
          <w:lang w:val="en-GB"/>
        </w:rPr>
        <w:t xml:space="preserve">, formal modelling is </w:t>
      </w:r>
      <w:r w:rsidR="00457792">
        <w:rPr>
          <w:rFonts w:ascii="Times New Roman" w:hAnsi="Times New Roman" w:cs="Times New Roman"/>
          <w:sz w:val="24"/>
          <w:szCs w:val="24"/>
          <w:lang w:val="en-GB"/>
        </w:rPr>
        <w:t>needed</w:t>
      </w:r>
      <w:r w:rsidR="00C906B9">
        <w:rPr>
          <w:rFonts w:ascii="Times New Roman" w:hAnsi="Times New Roman" w:cs="Times New Roman"/>
          <w:sz w:val="24"/>
          <w:szCs w:val="24"/>
          <w:lang w:val="en-GB"/>
        </w:rPr>
        <w:t>.</w:t>
      </w:r>
      <w:r w:rsidR="009977FE">
        <w:rPr>
          <w:rFonts w:ascii="Times New Roman" w:hAnsi="Times New Roman" w:cs="Times New Roman"/>
          <w:sz w:val="24"/>
          <w:szCs w:val="24"/>
          <w:lang w:val="en-GB"/>
        </w:rPr>
        <w:t xml:space="preserve"> </w:t>
      </w:r>
    </w:p>
    <w:p w14:paraId="4870620C" w14:textId="42E95DDF" w:rsidR="00777106" w:rsidRDefault="009E44FC" w:rsidP="0077710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w:t>
      </w:r>
      <w:r w:rsidR="006A23FF">
        <w:rPr>
          <w:rFonts w:ascii="Times New Roman" w:hAnsi="Times New Roman" w:cs="Times New Roman"/>
          <w:sz w:val="24"/>
          <w:szCs w:val="24"/>
          <w:lang w:val="en-GB"/>
        </w:rPr>
        <w:t>game-theoretical terms</w:t>
      </w:r>
      <w:r>
        <w:rPr>
          <w:rFonts w:ascii="Times New Roman" w:hAnsi="Times New Roman" w:cs="Times New Roman"/>
          <w:sz w:val="24"/>
          <w:szCs w:val="24"/>
          <w:lang w:val="en-GB"/>
        </w:rPr>
        <w:t xml:space="preserve">, </w:t>
      </w:r>
      <w:r w:rsidR="00A83556">
        <w:rPr>
          <w:rFonts w:ascii="Times New Roman" w:hAnsi="Times New Roman" w:cs="Times New Roman"/>
          <w:sz w:val="24"/>
          <w:szCs w:val="24"/>
          <w:lang w:val="en-GB"/>
        </w:rPr>
        <w:t>one can conceive of</w:t>
      </w:r>
      <w:r w:rsidR="00875FC4">
        <w:rPr>
          <w:rFonts w:ascii="Times New Roman" w:hAnsi="Times New Roman" w:cs="Times New Roman"/>
          <w:sz w:val="24"/>
          <w:szCs w:val="24"/>
          <w:lang w:val="en-GB"/>
        </w:rPr>
        <w:t xml:space="preserve"> three ways of </w:t>
      </w:r>
      <w:r w:rsidR="00305B2F">
        <w:rPr>
          <w:rFonts w:ascii="Times New Roman" w:hAnsi="Times New Roman" w:cs="Times New Roman"/>
          <w:sz w:val="24"/>
          <w:szCs w:val="24"/>
          <w:lang w:val="en-GB"/>
        </w:rPr>
        <w:t>analysing</w:t>
      </w:r>
      <w:r w:rsidR="00875FC4">
        <w:rPr>
          <w:rFonts w:ascii="Times New Roman" w:hAnsi="Times New Roman" w:cs="Times New Roman"/>
          <w:sz w:val="24"/>
          <w:szCs w:val="24"/>
          <w:lang w:val="en-GB"/>
        </w:rPr>
        <w:t xml:space="preserve"> </w:t>
      </w:r>
      <w:r w:rsidR="00C652ED">
        <w:rPr>
          <w:rFonts w:ascii="Times New Roman" w:hAnsi="Times New Roman" w:cs="Times New Roman"/>
          <w:sz w:val="24"/>
          <w:szCs w:val="24"/>
          <w:lang w:val="en-GB"/>
        </w:rPr>
        <w:t>pattern se</w:t>
      </w:r>
      <w:r w:rsidR="00777106">
        <w:rPr>
          <w:rFonts w:ascii="Times New Roman" w:hAnsi="Times New Roman" w:cs="Times New Roman"/>
          <w:sz w:val="24"/>
          <w:szCs w:val="24"/>
          <w:lang w:val="en-GB"/>
        </w:rPr>
        <w:t>tting by the tradables sector:</w:t>
      </w:r>
      <w:r w:rsidR="00FB6ECA">
        <w:rPr>
          <w:rStyle w:val="FootnoteReference"/>
          <w:rFonts w:ascii="Times New Roman" w:hAnsi="Times New Roman" w:cs="Times New Roman"/>
          <w:sz w:val="24"/>
          <w:szCs w:val="24"/>
          <w:lang w:val="en-GB"/>
        </w:rPr>
        <w:footnoteReference w:id="24"/>
      </w:r>
      <w:r w:rsidR="00777106">
        <w:rPr>
          <w:rFonts w:ascii="Times New Roman" w:hAnsi="Times New Roman" w:cs="Times New Roman"/>
          <w:sz w:val="24"/>
          <w:szCs w:val="24"/>
          <w:lang w:val="en-GB"/>
        </w:rPr>
        <w:t xml:space="preserve"> </w:t>
      </w:r>
    </w:p>
    <w:p w14:paraId="12ADAC9F" w14:textId="43713BE6" w:rsidR="00777106" w:rsidRDefault="00295D30" w:rsidP="00777106">
      <w:pPr>
        <w:pStyle w:val="ListParagraph"/>
        <w:numPr>
          <w:ilvl w:val="0"/>
          <w:numId w:val="7"/>
        </w:numPr>
        <w:spacing w:line="360" w:lineRule="auto"/>
        <w:jc w:val="both"/>
        <w:rPr>
          <w:rFonts w:ascii="Times New Roman" w:hAnsi="Times New Roman" w:cs="Times New Roman"/>
          <w:sz w:val="24"/>
          <w:szCs w:val="24"/>
          <w:lang w:val="en-GB"/>
        </w:rPr>
      </w:pPr>
      <w:r w:rsidRPr="00A006BD">
        <w:rPr>
          <w:rFonts w:ascii="Times New Roman" w:hAnsi="Times New Roman" w:cs="Times New Roman"/>
          <w:sz w:val="24"/>
          <w:szCs w:val="24"/>
          <w:lang w:val="en-GB"/>
        </w:rPr>
        <w:t xml:space="preserve">As </w:t>
      </w:r>
      <w:r w:rsidR="00E51684" w:rsidRPr="00A006BD">
        <w:rPr>
          <w:rFonts w:ascii="Times New Roman" w:hAnsi="Times New Roman" w:cs="Times New Roman"/>
          <w:sz w:val="24"/>
          <w:szCs w:val="24"/>
          <w:lang w:val="en-GB"/>
        </w:rPr>
        <w:t xml:space="preserve">a </w:t>
      </w:r>
      <w:r w:rsidR="00E51684" w:rsidRPr="00961F87">
        <w:rPr>
          <w:rFonts w:ascii="Times New Roman" w:hAnsi="Times New Roman" w:cs="Times New Roman"/>
          <w:i/>
          <w:iCs/>
          <w:sz w:val="24"/>
          <w:szCs w:val="24"/>
          <w:lang w:val="en-GB"/>
        </w:rPr>
        <w:t>cooperative solution</w:t>
      </w:r>
      <w:r w:rsidR="00E51684" w:rsidRPr="00A006BD">
        <w:rPr>
          <w:rFonts w:ascii="Times New Roman" w:hAnsi="Times New Roman" w:cs="Times New Roman"/>
          <w:sz w:val="24"/>
          <w:szCs w:val="24"/>
          <w:lang w:val="en-GB"/>
        </w:rPr>
        <w:t xml:space="preserve"> </w:t>
      </w:r>
      <w:r w:rsidR="00FB5240" w:rsidRPr="00A006BD">
        <w:rPr>
          <w:rFonts w:ascii="Times New Roman" w:hAnsi="Times New Roman" w:cs="Times New Roman"/>
          <w:sz w:val="24"/>
          <w:szCs w:val="24"/>
          <w:lang w:val="en-GB"/>
        </w:rPr>
        <w:t>w</w:t>
      </w:r>
      <w:r w:rsidR="008D174A">
        <w:rPr>
          <w:rFonts w:ascii="Times New Roman" w:hAnsi="Times New Roman" w:cs="Times New Roman"/>
          <w:sz w:val="24"/>
          <w:szCs w:val="24"/>
          <w:lang w:val="en-GB"/>
        </w:rPr>
        <w:t>her</w:t>
      </w:r>
      <w:r w:rsidR="00FB5240" w:rsidRPr="00A006BD">
        <w:rPr>
          <w:rFonts w:ascii="Times New Roman" w:hAnsi="Times New Roman" w:cs="Times New Roman"/>
          <w:sz w:val="24"/>
          <w:szCs w:val="24"/>
          <w:lang w:val="en-GB"/>
        </w:rPr>
        <w:t xml:space="preserve">e </w:t>
      </w:r>
      <w:r w:rsidR="003C3F9F">
        <w:rPr>
          <w:rFonts w:ascii="Times New Roman" w:hAnsi="Times New Roman" w:cs="Times New Roman"/>
          <w:sz w:val="24"/>
          <w:szCs w:val="24"/>
          <w:lang w:val="en-GB"/>
        </w:rPr>
        <w:t xml:space="preserve">weight is given to the </w:t>
      </w:r>
      <w:r w:rsidR="00983605">
        <w:rPr>
          <w:rFonts w:ascii="Times New Roman" w:hAnsi="Times New Roman" w:cs="Times New Roman"/>
          <w:sz w:val="24"/>
          <w:szCs w:val="24"/>
          <w:lang w:val="en-GB"/>
        </w:rPr>
        <w:t xml:space="preserve">welfare effects of wage increases in each </w:t>
      </w:r>
      <w:r w:rsidR="00292BC8">
        <w:rPr>
          <w:rFonts w:ascii="Times New Roman" w:hAnsi="Times New Roman" w:cs="Times New Roman"/>
          <w:sz w:val="24"/>
          <w:szCs w:val="24"/>
          <w:lang w:val="en-GB"/>
        </w:rPr>
        <w:t>part of the economy</w:t>
      </w:r>
      <w:r w:rsidR="00983605">
        <w:rPr>
          <w:rFonts w:ascii="Times New Roman" w:hAnsi="Times New Roman" w:cs="Times New Roman"/>
          <w:sz w:val="24"/>
          <w:szCs w:val="24"/>
          <w:lang w:val="en-GB"/>
        </w:rPr>
        <w:t xml:space="preserve"> on other </w:t>
      </w:r>
      <w:r w:rsidR="00292BC8">
        <w:rPr>
          <w:rFonts w:ascii="Times New Roman" w:hAnsi="Times New Roman" w:cs="Times New Roman"/>
          <w:sz w:val="24"/>
          <w:szCs w:val="24"/>
          <w:lang w:val="en-GB"/>
        </w:rPr>
        <w:t>parts</w:t>
      </w:r>
      <w:r w:rsidR="00983605">
        <w:rPr>
          <w:rFonts w:ascii="Times New Roman" w:hAnsi="Times New Roman" w:cs="Times New Roman"/>
          <w:sz w:val="24"/>
          <w:szCs w:val="24"/>
          <w:lang w:val="en-GB"/>
        </w:rPr>
        <w:t>.</w:t>
      </w:r>
      <w:r w:rsidR="008037FC">
        <w:rPr>
          <w:rFonts w:ascii="Times New Roman" w:hAnsi="Times New Roman" w:cs="Times New Roman"/>
          <w:sz w:val="24"/>
          <w:szCs w:val="24"/>
          <w:lang w:val="en-GB"/>
        </w:rPr>
        <w:t xml:space="preserve"> </w:t>
      </w:r>
    </w:p>
    <w:p w14:paraId="42CF2ABF" w14:textId="3F83A8B4" w:rsidR="00E35E4D" w:rsidRDefault="00E35E4D" w:rsidP="00777106">
      <w:pPr>
        <w:pStyle w:val="ListParagraph"/>
        <w:numPr>
          <w:ilvl w:val="0"/>
          <w:numId w:val="7"/>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 a</w:t>
      </w:r>
      <w:r w:rsidR="00CE2681">
        <w:rPr>
          <w:rFonts w:ascii="Times New Roman" w:hAnsi="Times New Roman" w:cs="Times New Roman"/>
          <w:sz w:val="24"/>
          <w:szCs w:val="24"/>
          <w:lang w:val="en-GB"/>
        </w:rPr>
        <w:t xml:space="preserve"> so-called</w:t>
      </w:r>
      <w:r w:rsidR="004B0BD0">
        <w:rPr>
          <w:rFonts w:ascii="Times New Roman" w:hAnsi="Times New Roman" w:cs="Times New Roman"/>
          <w:sz w:val="24"/>
          <w:szCs w:val="24"/>
          <w:lang w:val="en-GB"/>
        </w:rPr>
        <w:t xml:space="preserve"> </w:t>
      </w:r>
      <w:r w:rsidR="00752A1F" w:rsidRPr="00961F87">
        <w:rPr>
          <w:rFonts w:ascii="Times New Roman" w:hAnsi="Times New Roman" w:cs="Times New Roman"/>
          <w:i/>
          <w:iCs/>
          <w:sz w:val="24"/>
          <w:szCs w:val="24"/>
          <w:lang w:val="en-GB"/>
        </w:rPr>
        <w:t>Stackelberg game</w:t>
      </w:r>
      <w:r w:rsidR="00752A1F">
        <w:rPr>
          <w:rFonts w:ascii="Times New Roman" w:hAnsi="Times New Roman" w:cs="Times New Roman"/>
          <w:sz w:val="24"/>
          <w:szCs w:val="24"/>
          <w:lang w:val="en-GB"/>
        </w:rPr>
        <w:t>, w</w:t>
      </w:r>
      <w:r w:rsidR="008D174A">
        <w:rPr>
          <w:rFonts w:ascii="Times New Roman" w:hAnsi="Times New Roman" w:cs="Times New Roman"/>
          <w:sz w:val="24"/>
          <w:szCs w:val="24"/>
          <w:lang w:val="en-GB"/>
        </w:rPr>
        <w:t>her</w:t>
      </w:r>
      <w:r w:rsidR="00752A1F">
        <w:rPr>
          <w:rFonts w:ascii="Times New Roman" w:hAnsi="Times New Roman" w:cs="Times New Roman"/>
          <w:sz w:val="24"/>
          <w:szCs w:val="24"/>
          <w:lang w:val="en-GB"/>
        </w:rPr>
        <w:t xml:space="preserve">e the </w:t>
      </w:r>
      <w:r w:rsidR="00D348AD">
        <w:rPr>
          <w:rFonts w:ascii="Times New Roman" w:hAnsi="Times New Roman" w:cs="Times New Roman"/>
          <w:sz w:val="24"/>
          <w:szCs w:val="24"/>
          <w:lang w:val="en-GB"/>
        </w:rPr>
        <w:t>leader sector</w:t>
      </w:r>
      <w:r w:rsidR="00752A1F">
        <w:rPr>
          <w:rFonts w:ascii="Times New Roman" w:hAnsi="Times New Roman" w:cs="Times New Roman"/>
          <w:sz w:val="24"/>
          <w:szCs w:val="24"/>
          <w:lang w:val="en-GB"/>
        </w:rPr>
        <w:t xml:space="preserve"> </w:t>
      </w:r>
      <w:r w:rsidR="00D85996">
        <w:rPr>
          <w:rFonts w:ascii="Times New Roman" w:hAnsi="Times New Roman" w:cs="Times New Roman"/>
          <w:sz w:val="24"/>
          <w:szCs w:val="24"/>
          <w:lang w:val="en-GB"/>
        </w:rPr>
        <w:t xml:space="preserve">maximises </w:t>
      </w:r>
      <w:r w:rsidR="008D174A">
        <w:rPr>
          <w:rFonts w:ascii="Times New Roman" w:hAnsi="Times New Roman" w:cs="Times New Roman"/>
          <w:sz w:val="24"/>
          <w:szCs w:val="24"/>
          <w:lang w:val="en-GB"/>
        </w:rPr>
        <w:t>her</w:t>
      </w:r>
      <w:r w:rsidR="00D85996">
        <w:rPr>
          <w:rFonts w:ascii="Times New Roman" w:hAnsi="Times New Roman" w:cs="Times New Roman"/>
          <w:sz w:val="24"/>
          <w:szCs w:val="24"/>
          <w:lang w:val="en-GB"/>
        </w:rPr>
        <w:t xml:space="preserve"> own </w:t>
      </w:r>
      <w:r w:rsidR="00D348AD">
        <w:rPr>
          <w:rFonts w:ascii="Times New Roman" w:hAnsi="Times New Roman" w:cs="Times New Roman"/>
          <w:sz w:val="24"/>
          <w:szCs w:val="24"/>
          <w:lang w:val="en-GB"/>
        </w:rPr>
        <w:t>welfare</w:t>
      </w:r>
      <w:r w:rsidR="00CE2681">
        <w:rPr>
          <w:rFonts w:ascii="Times New Roman" w:hAnsi="Times New Roman" w:cs="Times New Roman"/>
          <w:sz w:val="24"/>
          <w:szCs w:val="24"/>
          <w:lang w:val="en-GB"/>
        </w:rPr>
        <w:t>,</w:t>
      </w:r>
      <w:r w:rsidR="00D85996">
        <w:rPr>
          <w:rFonts w:ascii="Times New Roman" w:hAnsi="Times New Roman" w:cs="Times New Roman"/>
          <w:sz w:val="24"/>
          <w:szCs w:val="24"/>
          <w:lang w:val="en-GB"/>
        </w:rPr>
        <w:t xml:space="preserve"> taking into account </w:t>
      </w:r>
      <w:r w:rsidR="00D45434">
        <w:rPr>
          <w:rFonts w:ascii="Times New Roman" w:hAnsi="Times New Roman" w:cs="Times New Roman"/>
          <w:sz w:val="24"/>
          <w:szCs w:val="24"/>
          <w:lang w:val="en-GB"/>
        </w:rPr>
        <w:t xml:space="preserve">that </w:t>
      </w:r>
      <w:r w:rsidR="0025538C">
        <w:rPr>
          <w:rFonts w:ascii="Times New Roman" w:hAnsi="Times New Roman" w:cs="Times New Roman"/>
          <w:sz w:val="24"/>
          <w:szCs w:val="24"/>
          <w:lang w:val="en-GB"/>
        </w:rPr>
        <w:t>follower</w:t>
      </w:r>
      <w:r w:rsidR="00B70549">
        <w:rPr>
          <w:rFonts w:ascii="Times New Roman" w:hAnsi="Times New Roman" w:cs="Times New Roman"/>
          <w:sz w:val="24"/>
          <w:szCs w:val="24"/>
          <w:lang w:val="en-GB"/>
        </w:rPr>
        <w:t>s</w:t>
      </w:r>
      <w:r w:rsidR="0025538C">
        <w:rPr>
          <w:rFonts w:ascii="Times New Roman" w:hAnsi="Times New Roman" w:cs="Times New Roman"/>
          <w:sz w:val="24"/>
          <w:szCs w:val="24"/>
          <w:lang w:val="en-GB"/>
        </w:rPr>
        <w:t xml:space="preserve"> </w:t>
      </w:r>
      <w:r w:rsidR="008B713C">
        <w:rPr>
          <w:rFonts w:ascii="Times New Roman" w:hAnsi="Times New Roman" w:cs="Times New Roman"/>
          <w:sz w:val="24"/>
          <w:szCs w:val="24"/>
          <w:lang w:val="en-GB"/>
        </w:rPr>
        <w:t>will do the same</w:t>
      </w:r>
      <w:r w:rsidR="00775443">
        <w:rPr>
          <w:rFonts w:ascii="Times New Roman" w:hAnsi="Times New Roman" w:cs="Times New Roman"/>
          <w:sz w:val="24"/>
          <w:szCs w:val="24"/>
          <w:lang w:val="en-GB"/>
        </w:rPr>
        <w:t>.</w:t>
      </w:r>
    </w:p>
    <w:p w14:paraId="21E70AC8" w14:textId="7924AC24" w:rsidR="003F2A59" w:rsidRDefault="00994D7F" w:rsidP="00777106">
      <w:pPr>
        <w:pStyle w:val="ListParagraph"/>
        <w:numPr>
          <w:ilvl w:val="0"/>
          <w:numId w:val="7"/>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 a game w</w:t>
      </w:r>
      <w:r w:rsidR="008D174A">
        <w:rPr>
          <w:rFonts w:ascii="Times New Roman" w:hAnsi="Times New Roman" w:cs="Times New Roman"/>
          <w:sz w:val="24"/>
          <w:szCs w:val="24"/>
          <w:lang w:val="en-GB"/>
        </w:rPr>
        <w:t>her</w:t>
      </w:r>
      <w:r>
        <w:rPr>
          <w:rFonts w:ascii="Times New Roman" w:hAnsi="Times New Roman" w:cs="Times New Roman"/>
          <w:sz w:val="24"/>
          <w:szCs w:val="24"/>
          <w:lang w:val="en-GB"/>
        </w:rPr>
        <w:t xml:space="preserve">e the </w:t>
      </w:r>
      <w:r w:rsidR="00B70549">
        <w:rPr>
          <w:rFonts w:ascii="Times New Roman" w:hAnsi="Times New Roman" w:cs="Times New Roman"/>
          <w:sz w:val="24"/>
          <w:szCs w:val="24"/>
          <w:lang w:val="en-GB"/>
        </w:rPr>
        <w:t>leader maximi</w:t>
      </w:r>
      <w:r w:rsidR="0081638F">
        <w:rPr>
          <w:rFonts w:ascii="Times New Roman" w:hAnsi="Times New Roman" w:cs="Times New Roman"/>
          <w:sz w:val="24"/>
          <w:szCs w:val="24"/>
          <w:lang w:val="en-GB"/>
        </w:rPr>
        <w:t xml:space="preserve">ses </w:t>
      </w:r>
      <w:r w:rsidR="008D174A">
        <w:rPr>
          <w:rFonts w:ascii="Times New Roman" w:hAnsi="Times New Roman" w:cs="Times New Roman"/>
          <w:sz w:val="24"/>
          <w:szCs w:val="24"/>
          <w:lang w:val="en-GB"/>
        </w:rPr>
        <w:t>her</w:t>
      </w:r>
      <w:r w:rsidR="0081638F">
        <w:rPr>
          <w:rFonts w:ascii="Times New Roman" w:hAnsi="Times New Roman" w:cs="Times New Roman"/>
          <w:sz w:val="24"/>
          <w:szCs w:val="24"/>
          <w:lang w:val="en-GB"/>
        </w:rPr>
        <w:t xml:space="preserve"> own utility under the </w:t>
      </w:r>
      <w:r w:rsidR="006F475E">
        <w:rPr>
          <w:rFonts w:ascii="Times New Roman" w:hAnsi="Times New Roman" w:cs="Times New Roman"/>
          <w:sz w:val="24"/>
          <w:szCs w:val="24"/>
          <w:lang w:val="en-GB"/>
        </w:rPr>
        <w:t>constraint</w:t>
      </w:r>
      <w:r w:rsidR="00775443">
        <w:rPr>
          <w:rFonts w:ascii="Times New Roman" w:hAnsi="Times New Roman" w:cs="Times New Roman"/>
          <w:sz w:val="24"/>
          <w:szCs w:val="24"/>
          <w:lang w:val="en-GB"/>
        </w:rPr>
        <w:t xml:space="preserve"> that followers are bound by a </w:t>
      </w:r>
      <w:r w:rsidR="00775443" w:rsidRPr="00775443">
        <w:rPr>
          <w:rFonts w:ascii="Times New Roman" w:hAnsi="Times New Roman" w:cs="Times New Roman"/>
          <w:i/>
          <w:iCs/>
          <w:sz w:val="24"/>
          <w:szCs w:val="24"/>
          <w:lang w:val="en-GB"/>
        </w:rPr>
        <w:t>social norm</w:t>
      </w:r>
      <w:r w:rsidR="00775443">
        <w:rPr>
          <w:rFonts w:ascii="Times New Roman" w:hAnsi="Times New Roman" w:cs="Times New Roman"/>
          <w:i/>
          <w:iCs/>
          <w:sz w:val="24"/>
          <w:szCs w:val="24"/>
          <w:lang w:val="en-GB"/>
        </w:rPr>
        <w:t xml:space="preserve"> </w:t>
      </w:r>
      <w:r w:rsidR="00775443">
        <w:rPr>
          <w:rFonts w:ascii="Times New Roman" w:hAnsi="Times New Roman" w:cs="Times New Roman"/>
          <w:sz w:val="24"/>
          <w:szCs w:val="24"/>
          <w:lang w:val="en-GB"/>
        </w:rPr>
        <w:t xml:space="preserve">forcing them to </w:t>
      </w:r>
      <w:r w:rsidR="007F512D">
        <w:rPr>
          <w:rFonts w:ascii="Times New Roman" w:hAnsi="Times New Roman" w:cs="Times New Roman"/>
          <w:sz w:val="24"/>
          <w:szCs w:val="24"/>
          <w:lang w:val="en-GB"/>
        </w:rPr>
        <w:t>choose</w:t>
      </w:r>
      <w:r w:rsidR="00775443">
        <w:rPr>
          <w:rFonts w:ascii="Times New Roman" w:hAnsi="Times New Roman" w:cs="Times New Roman"/>
          <w:sz w:val="24"/>
          <w:szCs w:val="24"/>
          <w:lang w:val="en-GB"/>
        </w:rPr>
        <w:t xml:space="preserve"> the same wage </w:t>
      </w:r>
      <w:r w:rsidR="00E773BB">
        <w:rPr>
          <w:rFonts w:ascii="Times New Roman" w:hAnsi="Times New Roman" w:cs="Times New Roman"/>
          <w:sz w:val="24"/>
          <w:szCs w:val="24"/>
          <w:lang w:val="en-GB"/>
        </w:rPr>
        <w:t>(increases) as the leader.</w:t>
      </w:r>
      <w:r w:rsidR="00775443">
        <w:rPr>
          <w:rFonts w:ascii="Times New Roman" w:hAnsi="Times New Roman" w:cs="Times New Roman"/>
          <w:sz w:val="24"/>
          <w:szCs w:val="24"/>
          <w:lang w:val="en-GB"/>
        </w:rPr>
        <w:t xml:space="preserve"> </w:t>
      </w:r>
    </w:p>
    <w:p w14:paraId="3D7E2FD9" w14:textId="47119C0C" w:rsidR="006C3B11" w:rsidRDefault="00E176A8" w:rsidP="006C3B11">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Pattern bargaining as </w:t>
      </w:r>
      <w:r w:rsidR="00EE18A2">
        <w:rPr>
          <w:rFonts w:ascii="Times New Roman" w:hAnsi="Times New Roman" w:cs="Times New Roman"/>
          <w:i/>
          <w:iCs/>
          <w:sz w:val="24"/>
          <w:szCs w:val="24"/>
          <w:lang w:val="en-GB"/>
        </w:rPr>
        <w:t>centralisation in disguise</w:t>
      </w:r>
    </w:p>
    <w:p w14:paraId="27DE39D8" w14:textId="24CC0D15" w:rsidR="00492FB7" w:rsidRDefault="00C15288" w:rsidP="006C3B1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earlier </w:t>
      </w:r>
      <w:r w:rsidR="008E0A6F">
        <w:rPr>
          <w:rFonts w:ascii="Times New Roman" w:hAnsi="Times New Roman" w:cs="Times New Roman"/>
          <w:sz w:val="24"/>
          <w:szCs w:val="24"/>
          <w:lang w:val="en-GB"/>
        </w:rPr>
        <w:t>centralised bargaining between peak labour organisations</w:t>
      </w:r>
      <w:r w:rsidR="00DF1873">
        <w:rPr>
          <w:rFonts w:ascii="Times New Roman" w:hAnsi="Times New Roman" w:cs="Times New Roman"/>
          <w:sz w:val="24"/>
          <w:szCs w:val="24"/>
          <w:lang w:val="en-GB"/>
        </w:rPr>
        <w:t xml:space="preserve"> can be</w:t>
      </w:r>
      <w:r w:rsidR="004A5897">
        <w:rPr>
          <w:rFonts w:ascii="Times New Roman" w:hAnsi="Times New Roman" w:cs="Times New Roman"/>
          <w:sz w:val="24"/>
          <w:szCs w:val="24"/>
          <w:lang w:val="en-GB"/>
        </w:rPr>
        <w:t xml:space="preserve"> seen as </w:t>
      </w:r>
      <w:r w:rsidR="00405B50">
        <w:rPr>
          <w:rFonts w:ascii="Times New Roman" w:hAnsi="Times New Roman" w:cs="Times New Roman"/>
          <w:sz w:val="24"/>
          <w:szCs w:val="24"/>
          <w:lang w:val="en-GB"/>
        </w:rPr>
        <w:t xml:space="preserve">a way of internalising </w:t>
      </w:r>
      <w:r w:rsidR="00405B50">
        <w:rPr>
          <w:rFonts w:ascii="Times New Roman" w:hAnsi="Times New Roman" w:cs="Times New Roman"/>
          <w:i/>
          <w:iCs/>
          <w:sz w:val="24"/>
          <w:szCs w:val="24"/>
          <w:lang w:val="en-GB"/>
        </w:rPr>
        <w:t xml:space="preserve">externalities </w:t>
      </w:r>
      <w:r w:rsidR="00405B50">
        <w:rPr>
          <w:rFonts w:ascii="Times New Roman" w:hAnsi="Times New Roman" w:cs="Times New Roman"/>
          <w:sz w:val="24"/>
          <w:szCs w:val="24"/>
          <w:lang w:val="en-GB"/>
        </w:rPr>
        <w:t xml:space="preserve">of </w:t>
      </w:r>
      <w:r w:rsidR="00EA435D">
        <w:rPr>
          <w:rFonts w:ascii="Times New Roman" w:hAnsi="Times New Roman" w:cs="Times New Roman"/>
          <w:sz w:val="24"/>
          <w:szCs w:val="24"/>
          <w:lang w:val="en-GB"/>
        </w:rPr>
        <w:t xml:space="preserve">wage setting, i.e. of </w:t>
      </w:r>
      <w:r w:rsidR="00DF1873">
        <w:rPr>
          <w:rFonts w:ascii="Times New Roman" w:hAnsi="Times New Roman" w:cs="Times New Roman"/>
          <w:sz w:val="24"/>
          <w:szCs w:val="24"/>
          <w:lang w:val="en-GB"/>
        </w:rPr>
        <w:t>caring about</w:t>
      </w:r>
      <w:r w:rsidR="00292BC8">
        <w:rPr>
          <w:rFonts w:ascii="Times New Roman" w:hAnsi="Times New Roman" w:cs="Times New Roman"/>
          <w:sz w:val="24"/>
          <w:szCs w:val="24"/>
          <w:lang w:val="en-GB"/>
        </w:rPr>
        <w:t xml:space="preserve"> how</w:t>
      </w:r>
      <w:r w:rsidR="00607B4F">
        <w:rPr>
          <w:rFonts w:ascii="Times New Roman" w:hAnsi="Times New Roman" w:cs="Times New Roman"/>
          <w:sz w:val="24"/>
          <w:szCs w:val="24"/>
          <w:lang w:val="en-GB"/>
        </w:rPr>
        <w:t xml:space="preserve"> wage </w:t>
      </w:r>
      <w:r w:rsidR="00292BC8">
        <w:rPr>
          <w:rFonts w:ascii="Times New Roman" w:hAnsi="Times New Roman" w:cs="Times New Roman"/>
          <w:sz w:val="24"/>
          <w:szCs w:val="24"/>
          <w:lang w:val="en-GB"/>
        </w:rPr>
        <w:t>changes</w:t>
      </w:r>
      <w:r w:rsidR="00607B4F">
        <w:rPr>
          <w:rFonts w:ascii="Times New Roman" w:hAnsi="Times New Roman" w:cs="Times New Roman"/>
          <w:sz w:val="24"/>
          <w:szCs w:val="24"/>
          <w:lang w:val="en-GB"/>
        </w:rPr>
        <w:t xml:space="preserve"> in one area </w:t>
      </w:r>
      <w:r w:rsidR="00292BC8">
        <w:rPr>
          <w:rFonts w:ascii="Times New Roman" w:hAnsi="Times New Roman" w:cs="Times New Roman"/>
          <w:sz w:val="24"/>
          <w:szCs w:val="24"/>
          <w:lang w:val="en-GB"/>
        </w:rPr>
        <w:t>affect other areas</w:t>
      </w:r>
      <w:r w:rsidR="001B0A6F">
        <w:rPr>
          <w:rFonts w:ascii="Times New Roman" w:hAnsi="Times New Roman" w:cs="Times New Roman"/>
          <w:sz w:val="24"/>
          <w:szCs w:val="24"/>
          <w:lang w:val="en-GB"/>
        </w:rPr>
        <w:t xml:space="preserve">. </w:t>
      </w:r>
      <w:r w:rsidR="009669F9">
        <w:rPr>
          <w:rFonts w:ascii="Times New Roman" w:hAnsi="Times New Roman" w:cs="Times New Roman"/>
          <w:sz w:val="24"/>
          <w:szCs w:val="24"/>
          <w:lang w:val="en-GB"/>
        </w:rPr>
        <w:t xml:space="preserve">Bargainers in peak organisations are then assumed to </w:t>
      </w:r>
      <w:r w:rsidR="00CE266F">
        <w:rPr>
          <w:rFonts w:ascii="Times New Roman" w:hAnsi="Times New Roman" w:cs="Times New Roman"/>
          <w:sz w:val="24"/>
          <w:szCs w:val="24"/>
          <w:lang w:val="en-GB"/>
        </w:rPr>
        <w:t xml:space="preserve">try to maximise welfare </w:t>
      </w:r>
      <w:r w:rsidR="00CE266F">
        <w:rPr>
          <w:rFonts w:ascii="Times New Roman" w:hAnsi="Times New Roman" w:cs="Times New Roman"/>
          <w:sz w:val="24"/>
          <w:szCs w:val="24"/>
          <w:lang w:val="en-GB"/>
        </w:rPr>
        <w:lastRenderedPageBreak/>
        <w:t xml:space="preserve">functions which assign weights </w:t>
      </w:r>
      <w:r w:rsidR="00077CBC">
        <w:rPr>
          <w:rFonts w:ascii="Times New Roman" w:hAnsi="Times New Roman" w:cs="Times New Roman"/>
          <w:sz w:val="24"/>
          <w:szCs w:val="24"/>
          <w:lang w:val="en-GB"/>
        </w:rPr>
        <w:t xml:space="preserve">to all the members whom they represent. </w:t>
      </w:r>
      <w:r w:rsidR="00896509">
        <w:rPr>
          <w:rFonts w:ascii="Times New Roman" w:hAnsi="Times New Roman" w:cs="Times New Roman"/>
          <w:sz w:val="24"/>
          <w:szCs w:val="24"/>
          <w:lang w:val="en-GB"/>
        </w:rPr>
        <w:t>Several</w:t>
      </w:r>
      <w:r w:rsidR="00B944C6">
        <w:rPr>
          <w:rFonts w:ascii="Times New Roman" w:hAnsi="Times New Roman" w:cs="Times New Roman"/>
          <w:sz w:val="24"/>
          <w:szCs w:val="24"/>
          <w:lang w:val="en-GB"/>
        </w:rPr>
        <w:t xml:space="preserve"> </w:t>
      </w:r>
      <w:r w:rsidR="00C741B0">
        <w:rPr>
          <w:rFonts w:ascii="Times New Roman" w:hAnsi="Times New Roman" w:cs="Times New Roman"/>
          <w:sz w:val="24"/>
          <w:szCs w:val="24"/>
          <w:lang w:val="en-GB"/>
        </w:rPr>
        <w:t xml:space="preserve">negative externalities of high wages in an individual </w:t>
      </w:r>
      <w:r w:rsidR="00EA3D01">
        <w:rPr>
          <w:rFonts w:ascii="Times New Roman" w:hAnsi="Times New Roman" w:cs="Times New Roman"/>
          <w:sz w:val="24"/>
          <w:szCs w:val="24"/>
          <w:lang w:val="en-GB"/>
        </w:rPr>
        <w:t>part of the economy</w:t>
      </w:r>
      <w:r w:rsidR="00C741B0">
        <w:rPr>
          <w:rFonts w:ascii="Times New Roman" w:hAnsi="Times New Roman" w:cs="Times New Roman"/>
          <w:sz w:val="24"/>
          <w:szCs w:val="24"/>
          <w:lang w:val="en-GB"/>
        </w:rPr>
        <w:t xml:space="preserve"> have been identified</w:t>
      </w:r>
      <w:r w:rsidR="00EA3D01">
        <w:rPr>
          <w:rFonts w:ascii="Times New Roman" w:hAnsi="Times New Roman" w:cs="Times New Roman"/>
          <w:sz w:val="24"/>
          <w:szCs w:val="24"/>
          <w:lang w:val="en-GB"/>
        </w:rPr>
        <w:t>.</w:t>
      </w:r>
      <w:r w:rsidR="00A8272F">
        <w:rPr>
          <w:rFonts w:ascii="Times New Roman" w:hAnsi="Times New Roman" w:cs="Times New Roman"/>
          <w:sz w:val="24"/>
          <w:szCs w:val="24"/>
          <w:lang w:val="en-GB"/>
        </w:rPr>
        <w:t xml:space="preserve"> </w:t>
      </w:r>
      <w:r w:rsidR="00C46D3E">
        <w:rPr>
          <w:rFonts w:ascii="Times New Roman" w:hAnsi="Times New Roman" w:cs="Times New Roman"/>
          <w:sz w:val="24"/>
          <w:szCs w:val="24"/>
          <w:lang w:val="en-GB"/>
        </w:rPr>
        <w:t>T</w:t>
      </w:r>
      <w:r w:rsidR="00EA3D01">
        <w:rPr>
          <w:rFonts w:ascii="Times New Roman" w:hAnsi="Times New Roman" w:cs="Times New Roman"/>
          <w:sz w:val="24"/>
          <w:szCs w:val="24"/>
          <w:lang w:val="en-GB"/>
        </w:rPr>
        <w:t>his</w:t>
      </w:r>
      <w:r w:rsidR="00C46D3E">
        <w:rPr>
          <w:rFonts w:ascii="Times New Roman" w:hAnsi="Times New Roman" w:cs="Times New Roman"/>
          <w:sz w:val="24"/>
          <w:szCs w:val="24"/>
          <w:lang w:val="en-GB"/>
        </w:rPr>
        <w:t xml:space="preserve"> </w:t>
      </w:r>
      <w:r w:rsidR="00A8272F">
        <w:rPr>
          <w:rFonts w:ascii="Times New Roman" w:hAnsi="Times New Roman" w:cs="Times New Roman"/>
          <w:sz w:val="24"/>
          <w:szCs w:val="24"/>
          <w:lang w:val="en-GB"/>
        </w:rPr>
        <w:t>explain</w:t>
      </w:r>
      <w:r w:rsidR="00FA7622">
        <w:rPr>
          <w:rFonts w:ascii="Times New Roman" w:hAnsi="Times New Roman" w:cs="Times New Roman"/>
          <w:sz w:val="24"/>
          <w:szCs w:val="24"/>
          <w:lang w:val="en-GB"/>
        </w:rPr>
        <w:t>s</w:t>
      </w:r>
      <w:r w:rsidR="00A8272F">
        <w:rPr>
          <w:rFonts w:ascii="Times New Roman" w:hAnsi="Times New Roman" w:cs="Times New Roman"/>
          <w:sz w:val="24"/>
          <w:szCs w:val="24"/>
          <w:lang w:val="en-GB"/>
        </w:rPr>
        <w:t xml:space="preserve"> why </w:t>
      </w:r>
      <w:r w:rsidR="00C664EA">
        <w:rPr>
          <w:rFonts w:ascii="Times New Roman" w:hAnsi="Times New Roman" w:cs="Times New Roman"/>
          <w:sz w:val="24"/>
          <w:szCs w:val="24"/>
          <w:lang w:val="en-GB"/>
        </w:rPr>
        <w:t xml:space="preserve">centralised bargaining </w:t>
      </w:r>
      <w:r w:rsidR="00B75E5E">
        <w:rPr>
          <w:rFonts w:ascii="Times New Roman" w:hAnsi="Times New Roman" w:cs="Times New Roman"/>
          <w:sz w:val="24"/>
          <w:szCs w:val="24"/>
          <w:lang w:val="en-GB"/>
        </w:rPr>
        <w:t>likely</w:t>
      </w:r>
      <w:r w:rsidR="00D33E58">
        <w:rPr>
          <w:rFonts w:ascii="Times New Roman" w:hAnsi="Times New Roman" w:cs="Times New Roman"/>
          <w:sz w:val="24"/>
          <w:szCs w:val="24"/>
          <w:lang w:val="en-GB"/>
        </w:rPr>
        <w:t xml:space="preserve"> produce</w:t>
      </w:r>
      <w:r w:rsidR="00B75E5E">
        <w:rPr>
          <w:rFonts w:ascii="Times New Roman" w:hAnsi="Times New Roman" w:cs="Times New Roman"/>
          <w:sz w:val="24"/>
          <w:szCs w:val="24"/>
          <w:lang w:val="en-GB"/>
        </w:rPr>
        <w:t>s</w:t>
      </w:r>
      <w:r w:rsidR="00D33E58">
        <w:rPr>
          <w:rFonts w:ascii="Times New Roman" w:hAnsi="Times New Roman" w:cs="Times New Roman"/>
          <w:sz w:val="24"/>
          <w:szCs w:val="24"/>
          <w:lang w:val="en-GB"/>
        </w:rPr>
        <w:t xml:space="preserve"> wage restraint.</w:t>
      </w:r>
    </w:p>
    <w:p w14:paraId="78F0C8E1" w14:textId="7934B3DB" w:rsidR="0081524F" w:rsidRDefault="00492FB7" w:rsidP="006C3B1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Calmfors and Driffill (1988) </w:t>
      </w:r>
      <w:r w:rsidR="00175BE6">
        <w:rPr>
          <w:rFonts w:ascii="Times New Roman" w:hAnsi="Times New Roman" w:cs="Times New Roman"/>
          <w:sz w:val="24"/>
          <w:szCs w:val="24"/>
          <w:lang w:val="en-GB"/>
        </w:rPr>
        <w:t>focus</w:t>
      </w:r>
      <w:r w:rsidR="00EC1855">
        <w:rPr>
          <w:rFonts w:ascii="Times New Roman" w:hAnsi="Times New Roman" w:cs="Times New Roman"/>
          <w:sz w:val="24"/>
          <w:szCs w:val="24"/>
          <w:lang w:val="en-GB"/>
        </w:rPr>
        <w:t>ed</w:t>
      </w:r>
      <w:r w:rsidR="00175BE6">
        <w:rPr>
          <w:rFonts w:ascii="Times New Roman" w:hAnsi="Times New Roman" w:cs="Times New Roman"/>
          <w:sz w:val="24"/>
          <w:szCs w:val="24"/>
          <w:lang w:val="en-GB"/>
        </w:rPr>
        <w:t xml:space="preserve"> on consumer price externalitie</w:t>
      </w:r>
      <w:r w:rsidR="0038265D">
        <w:rPr>
          <w:rFonts w:ascii="Times New Roman" w:hAnsi="Times New Roman" w:cs="Times New Roman"/>
          <w:sz w:val="24"/>
          <w:szCs w:val="24"/>
          <w:lang w:val="en-GB"/>
        </w:rPr>
        <w:t xml:space="preserve">s: </w:t>
      </w:r>
      <w:r w:rsidR="00BB75BB">
        <w:rPr>
          <w:rFonts w:ascii="Times New Roman" w:hAnsi="Times New Roman" w:cs="Times New Roman"/>
          <w:sz w:val="24"/>
          <w:szCs w:val="24"/>
          <w:lang w:val="en-GB"/>
        </w:rPr>
        <w:t xml:space="preserve">that a wage rise in one </w:t>
      </w:r>
      <w:r w:rsidR="007B1067">
        <w:rPr>
          <w:rFonts w:ascii="Times New Roman" w:hAnsi="Times New Roman" w:cs="Times New Roman"/>
          <w:sz w:val="24"/>
          <w:szCs w:val="24"/>
          <w:lang w:val="en-GB"/>
        </w:rPr>
        <w:t>industry</w:t>
      </w:r>
      <w:r w:rsidR="006040BD">
        <w:rPr>
          <w:rFonts w:ascii="Times New Roman" w:hAnsi="Times New Roman" w:cs="Times New Roman"/>
          <w:sz w:val="24"/>
          <w:szCs w:val="24"/>
          <w:lang w:val="en-GB"/>
        </w:rPr>
        <w:t xml:space="preserve"> pushes up prices there, which </w:t>
      </w:r>
      <w:r w:rsidR="004D13CE">
        <w:rPr>
          <w:rFonts w:ascii="Times New Roman" w:hAnsi="Times New Roman" w:cs="Times New Roman"/>
          <w:sz w:val="24"/>
          <w:szCs w:val="24"/>
          <w:lang w:val="en-GB"/>
        </w:rPr>
        <w:t>reduces the purchas</w:t>
      </w:r>
      <w:r w:rsidR="007B1067">
        <w:rPr>
          <w:rFonts w:ascii="Times New Roman" w:hAnsi="Times New Roman" w:cs="Times New Roman"/>
          <w:sz w:val="24"/>
          <w:szCs w:val="24"/>
          <w:lang w:val="en-GB"/>
        </w:rPr>
        <w:t xml:space="preserve">ing power of </w:t>
      </w:r>
      <w:r w:rsidR="000D59AA">
        <w:rPr>
          <w:rFonts w:ascii="Times New Roman" w:hAnsi="Times New Roman" w:cs="Times New Roman"/>
          <w:sz w:val="24"/>
          <w:szCs w:val="24"/>
          <w:lang w:val="en-GB"/>
        </w:rPr>
        <w:t>incomes</w:t>
      </w:r>
      <w:r w:rsidR="007B1067">
        <w:rPr>
          <w:rFonts w:ascii="Times New Roman" w:hAnsi="Times New Roman" w:cs="Times New Roman"/>
          <w:sz w:val="24"/>
          <w:szCs w:val="24"/>
          <w:lang w:val="en-GB"/>
        </w:rPr>
        <w:t xml:space="preserve"> </w:t>
      </w:r>
      <w:r w:rsidR="009E6373">
        <w:rPr>
          <w:rFonts w:ascii="Times New Roman" w:hAnsi="Times New Roman" w:cs="Times New Roman"/>
          <w:sz w:val="24"/>
          <w:szCs w:val="24"/>
          <w:lang w:val="en-GB"/>
        </w:rPr>
        <w:t>elsewhere.</w:t>
      </w:r>
      <w:r w:rsidR="002E6994">
        <w:rPr>
          <w:rFonts w:ascii="Times New Roman" w:hAnsi="Times New Roman" w:cs="Times New Roman"/>
          <w:sz w:val="24"/>
          <w:szCs w:val="24"/>
          <w:lang w:val="en-GB"/>
        </w:rPr>
        <w:t xml:space="preserve"> There are also</w:t>
      </w:r>
      <w:r w:rsidR="00F26EE9">
        <w:rPr>
          <w:rFonts w:ascii="Times New Roman" w:hAnsi="Times New Roman" w:cs="Times New Roman"/>
          <w:sz w:val="24"/>
          <w:szCs w:val="24"/>
          <w:lang w:val="en-GB"/>
        </w:rPr>
        <w:t xml:space="preserve"> fiscal externalities. </w:t>
      </w:r>
      <w:r w:rsidR="00AF4CD7">
        <w:rPr>
          <w:rFonts w:ascii="Times New Roman" w:hAnsi="Times New Roman" w:cs="Times New Roman"/>
          <w:sz w:val="24"/>
          <w:szCs w:val="24"/>
          <w:lang w:val="en-GB"/>
        </w:rPr>
        <w:t>A wage increase</w:t>
      </w:r>
      <w:r w:rsidR="00C67906">
        <w:rPr>
          <w:rFonts w:ascii="Times New Roman" w:hAnsi="Times New Roman" w:cs="Times New Roman"/>
          <w:sz w:val="24"/>
          <w:szCs w:val="24"/>
          <w:lang w:val="en-GB"/>
        </w:rPr>
        <w:t xml:space="preserve"> </w:t>
      </w:r>
      <w:r w:rsidR="00C61E4D">
        <w:rPr>
          <w:rFonts w:ascii="Times New Roman" w:hAnsi="Times New Roman" w:cs="Times New Roman"/>
          <w:sz w:val="24"/>
          <w:szCs w:val="24"/>
          <w:lang w:val="en-GB"/>
        </w:rPr>
        <w:t>in one area</w:t>
      </w:r>
      <w:r w:rsidR="00464092">
        <w:rPr>
          <w:rFonts w:ascii="Times New Roman" w:hAnsi="Times New Roman" w:cs="Times New Roman"/>
          <w:sz w:val="24"/>
          <w:szCs w:val="24"/>
          <w:lang w:val="en-GB"/>
        </w:rPr>
        <w:t>, reducing output and employment</w:t>
      </w:r>
      <w:r w:rsidR="0033402E">
        <w:rPr>
          <w:rFonts w:ascii="Times New Roman" w:hAnsi="Times New Roman" w:cs="Times New Roman"/>
          <w:sz w:val="24"/>
          <w:szCs w:val="24"/>
          <w:lang w:val="en-GB"/>
        </w:rPr>
        <w:t xml:space="preserve"> there</w:t>
      </w:r>
      <w:r w:rsidR="00464092">
        <w:rPr>
          <w:rFonts w:ascii="Times New Roman" w:hAnsi="Times New Roman" w:cs="Times New Roman"/>
          <w:sz w:val="24"/>
          <w:szCs w:val="24"/>
          <w:lang w:val="en-GB"/>
        </w:rPr>
        <w:t xml:space="preserve">, </w:t>
      </w:r>
      <w:r w:rsidR="007B1E97">
        <w:rPr>
          <w:rFonts w:ascii="Times New Roman" w:hAnsi="Times New Roman" w:cs="Times New Roman"/>
          <w:sz w:val="24"/>
          <w:szCs w:val="24"/>
          <w:lang w:val="en-GB"/>
        </w:rPr>
        <w:t>could decrease</w:t>
      </w:r>
      <w:r w:rsidR="00464092">
        <w:rPr>
          <w:rFonts w:ascii="Times New Roman" w:hAnsi="Times New Roman" w:cs="Times New Roman"/>
          <w:sz w:val="24"/>
          <w:szCs w:val="24"/>
          <w:lang w:val="en-GB"/>
        </w:rPr>
        <w:t xml:space="preserve"> t</w:t>
      </w:r>
      <w:r w:rsidR="003018BB">
        <w:rPr>
          <w:rFonts w:ascii="Times New Roman" w:hAnsi="Times New Roman" w:cs="Times New Roman"/>
          <w:sz w:val="24"/>
          <w:szCs w:val="24"/>
          <w:lang w:val="en-GB"/>
        </w:rPr>
        <w:t>he tax base to the detriment of other</w:t>
      </w:r>
      <w:r w:rsidR="005E25CC">
        <w:rPr>
          <w:rFonts w:ascii="Times New Roman" w:hAnsi="Times New Roman" w:cs="Times New Roman"/>
          <w:sz w:val="24"/>
          <w:szCs w:val="24"/>
          <w:lang w:val="en-GB"/>
        </w:rPr>
        <w:t xml:space="preserve"> areas. </w:t>
      </w:r>
      <w:r w:rsidR="00A12DFA">
        <w:rPr>
          <w:rFonts w:ascii="Times New Roman" w:hAnsi="Times New Roman" w:cs="Times New Roman"/>
          <w:sz w:val="24"/>
          <w:szCs w:val="24"/>
          <w:lang w:val="en-GB"/>
        </w:rPr>
        <w:t>If</w:t>
      </w:r>
      <w:r w:rsidR="00B117B6">
        <w:rPr>
          <w:rFonts w:ascii="Times New Roman" w:hAnsi="Times New Roman" w:cs="Times New Roman"/>
          <w:sz w:val="24"/>
          <w:szCs w:val="24"/>
          <w:lang w:val="en-GB"/>
        </w:rPr>
        <w:t xml:space="preserve"> such a wage increase causes </w:t>
      </w:r>
      <w:r w:rsidR="00AF582C">
        <w:rPr>
          <w:rFonts w:ascii="Times New Roman" w:hAnsi="Times New Roman" w:cs="Times New Roman"/>
          <w:sz w:val="24"/>
          <w:szCs w:val="24"/>
          <w:lang w:val="en-GB"/>
        </w:rPr>
        <w:t xml:space="preserve">higher costs </w:t>
      </w:r>
      <w:r w:rsidR="00D3233F">
        <w:rPr>
          <w:rFonts w:ascii="Times New Roman" w:hAnsi="Times New Roman" w:cs="Times New Roman"/>
          <w:sz w:val="24"/>
          <w:szCs w:val="24"/>
          <w:lang w:val="en-GB"/>
        </w:rPr>
        <w:t>for unemployment benefits, these</w:t>
      </w:r>
      <w:r w:rsidR="00032136">
        <w:rPr>
          <w:rFonts w:ascii="Times New Roman" w:hAnsi="Times New Roman" w:cs="Times New Roman"/>
          <w:sz w:val="24"/>
          <w:szCs w:val="24"/>
          <w:lang w:val="en-GB"/>
        </w:rPr>
        <w:t xml:space="preserve"> are </w:t>
      </w:r>
      <w:r w:rsidR="00F74EF9">
        <w:rPr>
          <w:rFonts w:ascii="Times New Roman" w:hAnsi="Times New Roman" w:cs="Times New Roman"/>
          <w:sz w:val="24"/>
          <w:szCs w:val="24"/>
          <w:lang w:val="en-GB"/>
        </w:rPr>
        <w:t>mainly paid for b</w:t>
      </w:r>
      <w:r w:rsidR="00A75CB3">
        <w:rPr>
          <w:rFonts w:ascii="Times New Roman" w:hAnsi="Times New Roman" w:cs="Times New Roman"/>
          <w:sz w:val="24"/>
          <w:szCs w:val="24"/>
          <w:lang w:val="en-GB"/>
        </w:rPr>
        <w:t>y the rest of the economy</w:t>
      </w:r>
      <w:r w:rsidR="004F0634">
        <w:rPr>
          <w:rFonts w:ascii="Times New Roman" w:hAnsi="Times New Roman" w:cs="Times New Roman"/>
          <w:sz w:val="24"/>
          <w:szCs w:val="24"/>
          <w:lang w:val="en-GB"/>
        </w:rPr>
        <w:t>.</w:t>
      </w:r>
      <w:r w:rsidR="00F26EE9">
        <w:rPr>
          <w:rFonts w:ascii="Times New Roman" w:hAnsi="Times New Roman" w:cs="Times New Roman"/>
          <w:sz w:val="24"/>
          <w:szCs w:val="24"/>
          <w:lang w:val="en-GB"/>
        </w:rPr>
        <w:t xml:space="preserve"> There </w:t>
      </w:r>
      <w:r w:rsidR="00025D58">
        <w:rPr>
          <w:rFonts w:ascii="Times New Roman" w:hAnsi="Times New Roman" w:cs="Times New Roman"/>
          <w:sz w:val="24"/>
          <w:szCs w:val="24"/>
          <w:lang w:val="en-GB"/>
        </w:rPr>
        <w:t xml:space="preserve">are also unemployment </w:t>
      </w:r>
      <w:r w:rsidR="001840A2">
        <w:rPr>
          <w:rFonts w:ascii="Times New Roman" w:hAnsi="Times New Roman" w:cs="Times New Roman"/>
          <w:sz w:val="24"/>
          <w:szCs w:val="24"/>
          <w:lang w:val="en-GB"/>
        </w:rPr>
        <w:t>(hiring)</w:t>
      </w:r>
      <w:r w:rsidR="00512ACC">
        <w:rPr>
          <w:rFonts w:ascii="Times New Roman" w:hAnsi="Times New Roman" w:cs="Times New Roman"/>
          <w:sz w:val="24"/>
          <w:szCs w:val="24"/>
          <w:lang w:val="en-GB"/>
        </w:rPr>
        <w:t xml:space="preserve"> </w:t>
      </w:r>
      <w:r w:rsidR="00025D58">
        <w:rPr>
          <w:rFonts w:ascii="Times New Roman" w:hAnsi="Times New Roman" w:cs="Times New Roman"/>
          <w:sz w:val="24"/>
          <w:szCs w:val="24"/>
          <w:lang w:val="en-GB"/>
        </w:rPr>
        <w:t>externalities</w:t>
      </w:r>
      <w:r w:rsidR="00111AF4">
        <w:rPr>
          <w:rFonts w:ascii="Times New Roman" w:hAnsi="Times New Roman" w:cs="Times New Roman"/>
          <w:sz w:val="24"/>
          <w:szCs w:val="24"/>
          <w:lang w:val="en-GB"/>
        </w:rPr>
        <w:t xml:space="preserve"> because </w:t>
      </w:r>
      <w:r w:rsidR="001840A2">
        <w:rPr>
          <w:rFonts w:ascii="Times New Roman" w:hAnsi="Times New Roman" w:cs="Times New Roman"/>
          <w:sz w:val="24"/>
          <w:szCs w:val="24"/>
          <w:lang w:val="en-GB"/>
        </w:rPr>
        <w:t>higher unemployment in one part of the economy</w:t>
      </w:r>
      <w:r w:rsidR="00512ACC">
        <w:rPr>
          <w:rFonts w:ascii="Times New Roman" w:hAnsi="Times New Roman" w:cs="Times New Roman"/>
          <w:sz w:val="24"/>
          <w:szCs w:val="24"/>
          <w:lang w:val="en-GB"/>
        </w:rPr>
        <w:t xml:space="preserve"> makes it harder for </w:t>
      </w:r>
      <w:r w:rsidR="00AC316A">
        <w:rPr>
          <w:rFonts w:ascii="Times New Roman" w:hAnsi="Times New Roman" w:cs="Times New Roman"/>
          <w:sz w:val="24"/>
          <w:szCs w:val="24"/>
          <w:lang w:val="en-GB"/>
        </w:rPr>
        <w:t xml:space="preserve">unemployed </w:t>
      </w:r>
      <w:r w:rsidR="00512ACC">
        <w:rPr>
          <w:rFonts w:ascii="Times New Roman" w:hAnsi="Times New Roman" w:cs="Times New Roman"/>
          <w:sz w:val="24"/>
          <w:szCs w:val="24"/>
          <w:lang w:val="en-GB"/>
        </w:rPr>
        <w:t xml:space="preserve">workers </w:t>
      </w:r>
      <w:r w:rsidR="00C46D3E">
        <w:rPr>
          <w:rFonts w:ascii="Times New Roman" w:hAnsi="Times New Roman" w:cs="Times New Roman"/>
          <w:sz w:val="24"/>
          <w:szCs w:val="24"/>
          <w:lang w:val="en-GB"/>
        </w:rPr>
        <w:t>elsewhere</w:t>
      </w:r>
      <w:r w:rsidR="00F67FB1">
        <w:rPr>
          <w:rFonts w:ascii="Times New Roman" w:hAnsi="Times New Roman" w:cs="Times New Roman"/>
          <w:sz w:val="24"/>
          <w:szCs w:val="24"/>
          <w:lang w:val="en-GB"/>
        </w:rPr>
        <w:t xml:space="preserve"> to find jobs</w:t>
      </w:r>
      <w:r w:rsidR="002830BB">
        <w:rPr>
          <w:rFonts w:ascii="Times New Roman" w:hAnsi="Times New Roman" w:cs="Times New Roman"/>
          <w:sz w:val="24"/>
          <w:szCs w:val="24"/>
          <w:lang w:val="en-GB"/>
        </w:rPr>
        <w:t>.</w:t>
      </w:r>
      <w:r w:rsidR="00B85C91">
        <w:rPr>
          <w:rStyle w:val="FootnoteReference"/>
          <w:rFonts w:ascii="Times New Roman" w:hAnsi="Times New Roman" w:cs="Times New Roman"/>
          <w:sz w:val="24"/>
          <w:szCs w:val="24"/>
          <w:lang w:val="en-GB"/>
        </w:rPr>
        <w:footnoteReference w:id="25"/>
      </w:r>
      <w:r w:rsidR="00520B04">
        <w:rPr>
          <w:rFonts w:ascii="Times New Roman" w:hAnsi="Times New Roman" w:cs="Times New Roman"/>
          <w:sz w:val="24"/>
          <w:szCs w:val="24"/>
          <w:lang w:val="en-GB"/>
        </w:rPr>
        <w:t xml:space="preserve"> A</w:t>
      </w:r>
      <w:r w:rsidR="00624536">
        <w:rPr>
          <w:rFonts w:ascii="Times New Roman" w:hAnsi="Times New Roman" w:cs="Times New Roman"/>
          <w:sz w:val="24"/>
          <w:szCs w:val="24"/>
          <w:lang w:val="en-GB"/>
        </w:rPr>
        <w:t xml:space="preserve">nother unemployment externality </w:t>
      </w:r>
      <w:r w:rsidR="00FB4684">
        <w:rPr>
          <w:rFonts w:ascii="Times New Roman" w:hAnsi="Times New Roman" w:cs="Times New Roman"/>
          <w:sz w:val="24"/>
          <w:szCs w:val="24"/>
          <w:lang w:val="en-GB"/>
        </w:rPr>
        <w:t xml:space="preserve">arises </w:t>
      </w:r>
      <w:r w:rsidR="00393629">
        <w:rPr>
          <w:rFonts w:ascii="Times New Roman" w:hAnsi="Times New Roman" w:cs="Times New Roman"/>
          <w:sz w:val="24"/>
          <w:szCs w:val="24"/>
          <w:lang w:val="en-GB"/>
        </w:rPr>
        <w:t>if</w:t>
      </w:r>
      <w:r w:rsidR="005369B1">
        <w:rPr>
          <w:rFonts w:ascii="Times New Roman" w:hAnsi="Times New Roman" w:cs="Times New Roman"/>
          <w:sz w:val="24"/>
          <w:szCs w:val="24"/>
          <w:lang w:val="en-GB"/>
        </w:rPr>
        <w:t xml:space="preserve"> wage increases in </w:t>
      </w:r>
      <w:r w:rsidR="00D4371F">
        <w:rPr>
          <w:rFonts w:ascii="Times New Roman" w:hAnsi="Times New Roman" w:cs="Times New Roman"/>
          <w:sz w:val="24"/>
          <w:szCs w:val="24"/>
          <w:lang w:val="en-GB"/>
        </w:rPr>
        <w:t xml:space="preserve">one area </w:t>
      </w:r>
      <w:r w:rsidR="00866D24">
        <w:rPr>
          <w:rFonts w:ascii="Times New Roman" w:hAnsi="Times New Roman" w:cs="Times New Roman"/>
          <w:sz w:val="24"/>
          <w:szCs w:val="24"/>
          <w:lang w:val="en-GB"/>
        </w:rPr>
        <w:t>raises</w:t>
      </w:r>
      <w:r w:rsidR="00D4371F">
        <w:rPr>
          <w:rFonts w:ascii="Times New Roman" w:hAnsi="Times New Roman" w:cs="Times New Roman"/>
          <w:sz w:val="24"/>
          <w:szCs w:val="24"/>
          <w:lang w:val="en-GB"/>
        </w:rPr>
        <w:t xml:space="preserve"> inflation</w:t>
      </w:r>
      <w:r w:rsidR="00316437">
        <w:rPr>
          <w:rFonts w:ascii="Times New Roman" w:hAnsi="Times New Roman" w:cs="Times New Roman"/>
          <w:sz w:val="24"/>
          <w:szCs w:val="24"/>
          <w:lang w:val="en-GB"/>
        </w:rPr>
        <w:t xml:space="preserve"> and </w:t>
      </w:r>
      <w:r w:rsidR="007978C1">
        <w:rPr>
          <w:rFonts w:ascii="Times New Roman" w:hAnsi="Times New Roman" w:cs="Times New Roman"/>
          <w:sz w:val="24"/>
          <w:szCs w:val="24"/>
          <w:lang w:val="en-GB"/>
        </w:rPr>
        <w:t xml:space="preserve">this </w:t>
      </w:r>
      <w:r w:rsidR="00316437">
        <w:rPr>
          <w:rFonts w:ascii="Times New Roman" w:hAnsi="Times New Roman" w:cs="Times New Roman"/>
          <w:sz w:val="24"/>
          <w:szCs w:val="24"/>
          <w:lang w:val="en-GB"/>
        </w:rPr>
        <w:t xml:space="preserve">induces the central </w:t>
      </w:r>
      <w:r w:rsidR="007978C1">
        <w:rPr>
          <w:rFonts w:ascii="Times New Roman" w:hAnsi="Times New Roman" w:cs="Times New Roman"/>
          <w:sz w:val="24"/>
          <w:szCs w:val="24"/>
          <w:lang w:val="en-GB"/>
        </w:rPr>
        <w:t xml:space="preserve">bank to </w:t>
      </w:r>
      <w:r w:rsidR="00393629">
        <w:rPr>
          <w:rFonts w:ascii="Times New Roman" w:hAnsi="Times New Roman" w:cs="Times New Roman"/>
          <w:sz w:val="24"/>
          <w:szCs w:val="24"/>
          <w:lang w:val="en-GB"/>
        </w:rPr>
        <w:t>adopt a more contractionary monetary policy</w:t>
      </w:r>
      <w:r w:rsidR="00CD5B7F">
        <w:rPr>
          <w:rFonts w:ascii="Times New Roman" w:hAnsi="Times New Roman" w:cs="Times New Roman"/>
          <w:sz w:val="24"/>
          <w:szCs w:val="24"/>
          <w:lang w:val="en-GB"/>
        </w:rPr>
        <w:t xml:space="preserve"> (e.g. Soskice and Iversen 200</w:t>
      </w:r>
      <w:r w:rsidR="003B17EB">
        <w:rPr>
          <w:rFonts w:ascii="Times New Roman" w:hAnsi="Times New Roman" w:cs="Times New Roman"/>
          <w:sz w:val="24"/>
          <w:szCs w:val="24"/>
          <w:lang w:val="en-GB"/>
        </w:rPr>
        <w:t>0</w:t>
      </w:r>
      <w:r w:rsidR="00CD5B7F">
        <w:rPr>
          <w:rFonts w:ascii="Times New Roman" w:hAnsi="Times New Roman" w:cs="Times New Roman"/>
          <w:sz w:val="24"/>
          <w:szCs w:val="24"/>
          <w:lang w:val="en-GB"/>
        </w:rPr>
        <w:t>)</w:t>
      </w:r>
      <w:r w:rsidR="00393629">
        <w:rPr>
          <w:rFonts w:ascii="Times New Roman" w:hAnsi="Times New Roman" w:cs="Times New Roman"/>
          <w:sz w:val="24"/>
          <w:szCs w:val="24"/>
          <w:lang w:val="en-GB"/>
        </w:rPr>
        <w:t>.</w:t>
      </w:r>
      <w:r w:rsidR="003B17EB">
        <w:rPr>
          <w:rStyle w:val="FootnoteReference"/>
          <w:rFonts w:ascii="Times New Roman" w:hAnsi="Times New Roman" w:cs="Times New Roman"/>
          <w:sz w:val="24"/>
          <w:szCs w:val="24"/>
          <w:lang w:val="en-GB"/>
        </w:rPr>
        <w:footnoteReference w:id="26"/>
      </w:r>
      <w:r w:rsidR="00C663C1">
        <w:rPr>
          <w:rFonts w:ascii="Times New Roman" w:hAnsi="Times New Roman" w:cs="Times New Roman"/>
          <w:sz w:val="24"/>
          <w:szCs w:val="24"/>
          <w:lang w:val="en-GB"/>
        </w:rPr>
        <w:t xml:space="preserve"> </w:t>
      </w:r>
      <w:r w:rsidR="009556BE">
        <w:rPr>
          <w:rFonts w:ascii="Times New Roman" w:hAnsi="Times New Roman" w:cs="Times New Roman"/>
          <w:sz w:val="24"/>
          <w:szCs w:val="24"/>
          <w:lang w:val="en-GB"/>
        </w:rPr>
        <w:t>Also</w:t>
      </w:r>
      <w:r w:rsidR="00F931FA">
        <w:rPr>
          <w:rFonts w:ascii="Times New Roman" w:hAnsi="Times New Roman" w:cs="Times New Roman"/>
          <w:sz w:val="24"/>
          <w:szCs w:val="24"/>
          <w:lang w:val="en-GB"/>
        </w:rPr>
        <w:t>,</w:t>
      </w:r>
      <w:r w:rsidR="009556BE">
        <w:rPr>
          <w:rFonts w:ascii="Times New Roman" w:hAnsi="Times New Roman" w:cs="Times New Roman"/>
          <w:sz w:val="24"/>
          <w:szCs w:val="24"/>
          <w:lang w:val="en-GB"/>
        </w:rPr>
        <w:t xml:space="preserve"> there could be envy effects</w:t>
      </w:r>
      <w:r w:rsidR="007F29DA">
        <w:rPr>
          <w:rFonts w:ascii="Times New Roman" w:hAnsi="Times New Roman" w:cs="Times New Roman"/>
          <w:sz w:val="24"/>
          <w:szCs w:val="24"/>
          <w:lang w:val="en-GB"/>
        </w:rPr>
        <w:t xml:space="preserve">: workers in one </w:t>
      </w:r>
      <w:r w:rsidR="00B36FC0">
        <w:rPr>
          <w:rFonts w:ascii="Times New Roman" w:hAnsi="Times New Roman" w:cs="Times New Roman"/>
          <w:sz w:val="24"/>
          <w:szCs w:val="24"/>
          <w:lang w:val="en-GB"/>
        </w:rPr>
        <w:t>sector could perceive their utility to fall</w:t>
      </w:r>
      <w:r w:rsidR="004B7043">
        <w:rPr>
          <w:rFonts w:ascii="Times New Roman" w:hAnsi="Times New Roman" w:cs="Times New Roman"/>
          <w:sz w:val="24"/>
          <w:szCs w:val="24"/>
          <w:lang w:val="en-GB"/>
        </w:rPr>
        <w:t xml:space="preserve"> if </w:t>
      </w:r>
      <w:r w:rsidR="00904035">
        <w:rPr>
          <w:rFonts w:ascii="Times New Roman" w:hAnsi="Times New Roman" w:cs="Times New Roman"/>
          <w:sz w:val="24"/>
          <w:szCs w:val="24"/>
          <w:lang w:val="en-GB"/>
        </w:rPr>
        <w:t>their</w:t>
      </w:r>
      <w:r w:rsidR="004B7043">
        <w:rPr>
          <w:rFonts w:ascii="Times New Roman" w:hAnsi="Times New Roman" w:cs="Times New Roman"/>
          <w:sz w:val="24"/>
          <w:szCs w:val="24"/>
          <w:lang w:val="en-GB"/>
        </w:rPr>
        <w:t xml:space="preserve"> relative</w:t>
      </w:r>
      <w:r w:rsidR="00904035">
        <w:rPr>
          <w:rFonts w:ascii="Times New Roman" w:hAnsi="Times New Roman" w:cs="Times New Roman"/>
          <w:sz w:val="24"/>
          <w:szCs w:val="24"/>
          <w:lang w:val="en-GB"/>
        </w:rPr>
        <w:t xml:space="preserve"> </w:t>
      </w:r>
      <w:r w:rsidR="004B7043">
        <w:rPr>
          <w:rFonts w:ascii="Times New Roman" w:hAnsi="Times New Roman" w:cs="Times New Roman"/>
          <w:sz w:val="24"/>
          <w:szCs w:val="24"/>
          <w:lang w:val="en-GB"/>
        </w:rPr>
        <w:t xml:space="preserve">wage </w:t>
      </w:r>
      <w:r w:rsidR="00CF4966">
        <w:rPr>
          <w:rFonts w:ascii="Times New Roman" w:hAnsi="Times New Roman" w:cs="Times New Roman"/>
          <w:sz w:val="24"/>
          <w:szCs w:val="24"/>
          <w:lang w:val="en-GB"/>
        </w:rPr>
        <w:t>decreases</w:t>
      </w:r>
      <w:r w:rsidR="00904035">
        <w:rPr>
          <w:rFonts w:ascii="Times New Roman" w:hAnsi="Times New Roman" w:cs="Times New Roman"/>
          <w:sz w:val="24"/>
          <w:szCs w:val="24"/>
          <w:lang w:val="en-GB"/>
        </w:rPr>
        <w:t xml:space="preserve"> </w:t>
      </w:r>
      <w:r w:rsidR="006F1C5B">
        <w:rPr>
          <w:rFonts w:ascii="Times New Roman" w:hAnsi="Times New Roman" w:cs="Times New Roman"/>
          <w:sz w:val="24"/>
          <w:szCs w:val="24"/>
          <w:lang w:val="en-GB"/>
        </w:rPr>
        <w:t>due to a wage increase for another group.</w:t>
      </w:r>
    </w:p>
    <w:p w14:paraId="4E6EB02A" w14:textId="07F39AA2" w:rsidR="00EE18A2" w:rsidRDefault="00C42DC2" w:rsidP="006C3B1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Pattern setting</w:t>
      </w:r>
      <w:r w:rsidR="000D61B6">
        <w:rPr>
          <w:rFonts w:ascii="Times New Roman" w:hAnsi="Times New Roman" w:cs="Times New Roman"/>
          <w:sz w:val="24"/>
          <w:szCs w:val="24"/>
          <w:lang w:val="en-GB"/>
        </w:rPr>
        <w:t xml:space="preserve"> by the tradables sector</w:t>
      </w:r>
      <w:r>
        <w:rPr>
          <w:rFonts w:ascii="Times New Roman" w:hAnsi="Times New Roman" w:cs="Times New Roman"/>
          <w:sz w:val="24"/>
          <w:szCs w:val="24"/>
          <w:lang w:val="en-GB"/>
        </w:rPr>
        <w:t xml:space="preserve"> might</w:t>
      </w:r>
      <w:r w:rsidR="0081524F">
        <w:rPr>
          <w:rFonts w:ascii="Times New Roman" w:hAnsi="Times New Roman" w:cs="Times New Roman"/>
          <w:sz w:val="24"/>
          <w:szCs w:val="24"/>
          <w:lang w:val="en-GB"/>
        </w:rPr>
        <w:t xml:space="preserve"> </w:t>
      </w:r>
      <w:r w:rsidR="00324DBF">
        <w:rPr>
          <w:rFonts w:ascii="Times New Roman" w:hAnsi="Times New Roman" w:cs="Times New Roman"/>
          <w:sz w:val="24"/>
          <w:szCs w:val="24"/>
          <w:lang w:val="en-GB"/>
        </w:rPr>
        <w:t>internalise</w:t>
      </w:r>
      <w:r w:rsidR="0081524F">
        <w:rPr>
          <w:rFonts w:ascii="Times New Roman" w:hAnsi="Times New Roman" w:cs="Times New Roman"/>
          <w:sz w:val="24"/>
          <w:szCs w:val="24"/>
          <w:lang w:val="en-GB"/>
        </w:rPr>
        <w:t xml:space="preserve"> wage-setting externalities </w:t>
      </w:r>
      <w:r w:rsidR="00324DBF">
        <w:rPr>
          <w:rFonts w:ascii="Times New Roman" w:hAnsi="Times New Roman" w:cs="Times New Roman"/>
          <w:sz w:val="24"/>
          <w:szCs w:val="24"/>
          <w:lang w:val="en-GB"/>
        </w:rPr>
        <w:t xml:space="preserve">in </w:t>
      </w:r>
      <w:r w:rsidR="00574D82">
        <w:rPr>
          <w:rFonts w:ascii="Times New Roman" w:hAnsi="Times New Roman" w:cs="Times New Roman"/>
          <w:sz w:val="24"/>
          <w:szCs w:val="24"/>
          <w:lang w:val="en-GB"/>
        </w:rPr>
        <w:t>a similar</w:t>
      </w:r>
      <w:r w:rsidR="000D61B6">
        <w:rPr>
          <w:rFonts w:ascii="Times New Roman" w:hAnsi="Times New Roman" w:cs="Times New Roman"/>
          <w:sz w:val="24"/>
          <w:szCs w:val="24"/>
          <w:lang w:val="en-GB"/>
        </w:rPr>
        <w:t xml:space="preserve"> way</w:t>
      </w:r>
      <w:r w:rsidR="00324DBF">
        <w:rPr>
          <w:rFonts w:ascii="Times New Roman" w:hAnsi="Times New Roman" w:cs="Times New Roman"/>
          <w:sz w:val="24"/>
          <w:szCs w:val="24"/>
          <w:lang w:val="en-GB"/>
        </w:rPr>
        <w:t xml:space="preserve"> as</w:t>
      </w:r>
      <w:r w:rsidR="0081524F">
        <w:rPr>
          <w:rFonts w:ascii="Times New Roman" w:hAnsi="Times New Roman" w:cs="Times New Roman"/>
          <w:sz w:val="24"/>
          <w:szCs w:val="24"/>
          <w:lang w:val="en-GB"/>
        </w:rPr>
        <w:t xml:space="preserve"> bargaining between peak organisations. Pattern bargaining would then work as </w:t>
      </w:r>
      <w:r w:rsidR="0057170C">
        <w:rPr>
          <w:rFonts w:ascii="Times New Roman" w:hAnsi="Times New Roman" w:cs="Times New Roman"/>
          <w:sz w:val="24"/>
          <w:szCs w:val="24"/>
          <w:lang w:val="en-GB"/>
        </w:rPr>
        <w:t>centralisation</w:t>
      </w:r>
      <w:r w:rsidR="0081524F">
        <w:rPr>
          <w:rFonts w:ascii="Times New Roman" w:hAnsi="Times New Roman" w:cs="Times New Roman"/>
          <w:sz w:val="24"/>
          <w:szCs w:val="24"/>
          <w:lang w:val="en-GB"/>
        </w:rPr>
        <w:t xml:space="preserve"> in disguise where</w:t>
      </w:r>
      <w:r w:rsidR="0057170C">
        <w:rPr>
          <w:rFonts w:ascii="Times New Roman" w:hAnsi="Times New Roman" w:cs="Times New Roman"/>
          <w:sz w:val="24"/>
          <w:szCs w:val="24"/>
          <w:lang w:val="en-GB"/>
        </w:rPr>
        <w:t xml:space="preserve"> </w:t>
      </w:r>
      <w:r w:rsidR="0081524F">
        <w:rPr>
          <w:rFonts w:ascii="Times New Roman" w:hAnsi="Times New Roman" w:cs="Times New Roman"/>
          <w:sz w:val="24"/>
          <w:szCs w:val="24"/>
          <w:lang w:val="en-GB"/>
        </w:rPr>
        <w:t xml:space="preserve">bargaining </w:t>
      </w:r>
      <w:r w:rsidR="00E13947">
        <w:rPr>
          <w:rFonts w:ascii="Times New Roman" w:hAnsi="Times New Roman" w:cs="Times New Roman"/>
          <w:sz w:val="24"/>
          <w:szCs w:val="24"/>
          <w:lang w:val="en-GB"/>
        </w:rPr>
        <w:t>has been delegated to</w:t>
      </w:r>
      <w:r w:rsidR="0081524F">
        <w:rPr>
          <w:rFonts w:ascii="Times New Roman" w:hAnsi="Times New Roman" w:cs="Times New Roman"/>
          <w:sz w:val="24"/>
          <w:szCs w:val="24"/>
          <w:lang w:val="en-GB"/>
        </w:rPr>
        <w:t xml:space="preserve"> </w:t>
      </w:r>
      <w:r w:rsidR="00E13947">
        <w:rPr>
          <w:rFonts w:ascii="Times New Roman" w:hAnsi="Times New Roman" w:cs="Times New Roman"/>
          <w:sz w:val="24"/>
          <w:szCs w:val="24"/>
          <w:lang w:val="en-GB"/>
        </w:rPr>
        <w:t>t</w:t>
      </w:r>
      <w:r w:rsidR="0081524F">
        <w:rPr>
          <w:rFonts w:ascii="Times New Roman" w:hAnsi="Times New Roman" w:cs="Times New Roman"/>
          <w:sz w:val="24"/>
          <w:szCs w:val="24"/>
          <w:lang w:val="en-GB"/>
        </w:rPr>
        <w:t>he tradables sector</w:t>
      </w:r>
      <w:r w:rsidR="006C247A">
        <w:rPr>
          <w:rFonts w:ascii="Times New Roman" w:hAnsi="Times New Roman" w:cs="Times New Roman"/>
          <w:sz w:val="24"/>
          <w:szCs w:val="24"/>
          <w:lang w:val="en-GB"/>
        </w:rPr>
        <w:t xml:space="preserve"> (manufacturing)</w:t>
      </w:r>
      <w:r w:rsidR="0081524F">
        <w:rPr>
          <w:rFonts w:ascii="Times New Roman" w:hAnsi="Times New Roman" w:cs="Times New Roman"/>
          <w:sz w:val="24"/>
          <w:szCs w:val="24"/>
          <w:lang w:val="en-GB"/>
        </w:rPr>
        <w:t>. One can then conceive of the bargaining stance</w:t>
      </w:r>
      <w:r w:rsidR="00302272">
        <w:rPr>
          <w:rFonts w:ascii="Times New Roman" w:hAnsi="Times New Roman" w:cs="Times New Roman"/>
          <w:sz w:val="24"/>
          <w:szCs w:val="24"/>
          <w:lang w:val="en-GB"/>
        </w:rPr>
        <w:t xml:space="preserve"> of the parties in the tradables sector</w:t>
      </w:r>
      <w:r w:rsidR="0081524F">
        <w:rPr>
          <w:rFonts w:ascii="Times New Roman" w:hAnsi="Times New Roman" w:cs="Times New Roman"/>
          <w:sz w:val="24"/>
          <w:szCs w:val="24"/>
          <w:lang w:val="en-GB"/>
        </w:rPr>
        <w:t xml:space="preserve"> </w:t>
      </w:r>
      <w:r w:rsidR="00EB7B85">
        <w:rPr>
          <w:rFonts w:ascii="Times New Roman" w:hAnsi="Times New Roman" w:cs="Times New Roman"/>
          <w:sz w:val="24"/>
          <w:szCs w:val="24"/>
          <w:lang w:val="en-GB"/>
        </w:rPr>
        <w:t xml:space="preserve">as </w:t>
      </w:r>
      <w:r w:rsidR="0081524F">
        <w:rPr>
          <w:rFonts w:ascii="Times New Roman" w:hAnsi="Times New Roman" w:cs="Times New Roman"/>
          <w:sz w:val="24"/>
          <w:szCs w:val="24"/>
          <w:lang w:val="en-GB"/>
        </w:rPr>
        <w:t xml:space="preserve">having been determined through informal negotiations </w:t>
      </w:r>
      <w:r w:rsidR="005C3D26">
        <w:rPr>
          <w:rFonts w:ascii="Times New Roman" w:hAnsi="Times New Roman" w:cs="Times New Roman"/>
          <w:sz w:val="24"/>
          <w:szCs w:val="24"/>
          <w:lang w:val="en-GB"/>
        </w:rPr>
        <w:t xml:space="preserve">with </w:t>
      </w:r>
      <w:r w:rsidR="0081524F">
        <w:rPr>
          <w:rFonts w:ascii="Times New Roman" w:hAnsi="Times New Roman" w:cs="Times New Roman"/>
          <w:sz w:val="24"/>
          <w:szCs w:val="24"/>
          <w:lang w:val="en-GB"/>
        </w:rPr>
        <w:t xml:space="preserve">the </w:t>
      </w:r>
      <w:r w:rsidR="002A7D66">
        <w:rPr>
          <w:rFonts w:ascii="Times New Roman" w:hAnsi="Times New Roman" w:cs="Times New Roman"/>
          <w:sz w:val="24"/>
          <w:szCs w:val="24"/>
          <w:lang w:val="en-GB"/>
        </w:rPr>
        <w:t xml:space="preserve">parties in the </w:t>
      </w:r>
      <w:r w:rsidR="0081524F">
        <w:rPr>
          <w:rFonts w:ascii="Times New Roman" w:hAnsi="Times New Roman" w:cs="Times New Roman"/>
          <w:sz w:val="24"/>
          <w:szCs w:val="24"/>
          <w:lang w:val="en-GB"/>
        </w:rPr>
        <w:t xml:space="preserve">rest of the economy </w:t>
      </w:r>
      <w:r w:rsidR="002A7D66">
        <w:rPr>
          <w:rFonts w:ascii="Times New Roman" w:hAnsi="Times New Roman" w:cs="Times New Roman"/>
          <w:sz w:val="24"/>
          <w:szCs w:val="24"/>
          <w:lang w:val="en-GB"/>
        </w:rPr>
        <w:t xml:space="preserve">giving </w:t>
      </w:r>
      <w:r w:rsidR="00EB7B85">
        <w:rPr>
          <w:rFonts w:ascii="Times New Roman" w:hAnsi="Times New Roman" w:cs="Times New Roman"/>
          <w:sz w:val="24"/>
          <w:szCs w:val="24"/>
          <w:lang w:val="en-GB"/>
        </w:rPr>
        <w:t>more or less the</w:t>
      </w:r>
      <w:r w:rsidR="00923999">
        <w:rPr>
          <w:rFonts w:ascii="Times New Roman" w:hAnsi="Times New Roman" w:cs="Times New Roman"/>
          <w:sz w:val="24"/>
          <w:szCs w:val="24"/>
          <w:lang w:val="en-GB"/>
        </w:rPr>
        <w:t xml:space="preserve"> same result as formal decision</w:t>
      </w:r>
      <w:r w:rsidR="008E69CC">
        <w:rPr>
          <w:rFonts w:ascii="Times New Roman" w:hAnsi="Times New Roman" w:cs="Times New Roman"/>
          <w:sz w:val="24"/>
          <w:szCs w:val="24"/>
          <w:lang w:val="en-GB"/>
        </w:rPr>
        <w:t>-making within peak organisations</w:t>
      </w:r>
      <w:r w:rsidR="005C2322">
        <w:rPr>
          <w:rFonts w:ascii="Times New Roman" w:hAnsi="Times New Roman" w:cs="Times New Roman"/>
          <w:sz w:val="24"/>
          <w:szCs w:val="24"/>
          <w:lang w:val="en-GB"/>
        </w:rPr>
        <w:t>.</w:t>
      </w:r>
      <w:r w:rsidR="0081524F">
        <w:rPr>
          <w:rFonts w:ascii="Times New Roman" w:hAnsi="Times New Roman" w:cs="Times New Roman"/>
          <w:sz w:val="24"/>
          <w:szCs w:val="24"/>
          <w:lang w:val="en-GB"/>
        </w:rPr>
        <w:t xml:space="preserve"> Alternatively, </w:t>
      </w:r>
      <w:r w:rsidR="005224FC">
        <w:rPr>
          <w:rFonts w:ascii="Times New Roman" w:hAnsi="Times New Roman" w:cs="Times New Roman"/>
          <w:sz w:val="24"/>
          <w:szCs w:val="24"/>
          <w:lang w:val="en-GB"/>
        </w:rPr>
        <w:t xml:space="preserve">the </w:t>
      </w:r>
      <w:r w:rsidR="005C2322">
        <w:rPr>
          <w:rFonts w:ascii="Times New Roman" w:hAnsi="Times New Roman" w:cs="Times New Roman"/>
          <w:sz w:val="24"/>
          <w:szCs w:val="24"/>
          <w:lang w:val="en-GB"/>
        </w:rPr>
        <w:t xml:space="preserve">tradables </w:t>
      </w:r>
      <w:r w:rsidR="005224FC">
        <w:rPr>
          <w:rFonts w:ascii="Times New Roman" w:hAnsi="Times New Roman" w:cs="Times New Roman"/>
          <w:sz w:val="24"/>
          <w:szCs w:val="24"/>
          <w:lang w:val="en-GB"/>
        </w:rPr>
        <w:t xml:space="preserve">sector unions and employers’ associations could be taken to </w:t>
      </w:r>
      <w:r w:rsidR="000C0B79">
        <w:rPr>
          <w:rFonts w:ascii="Times New Roman" w:hAnsi="Times New Roman" w:cs="Times New Roman"/>
          <w:sz w:val="24"/>
          <w:szCs w:val="24"/>
          <w:lang w:val="en-GB"/>
        </w:rPr>
        <w:t>behave</w:t>
      </w:r>
      <w:r w:rsidR="005224FC">
        <w:rPr>
          <w:rFonts w:ascii="Times New Roman" w:hAnsi="Times New Roman" w:cs="Times New Roman"/>
          <w:sz w:val="24"/>
          <w:szCs w:val="24"/>
          <w:lang w:val="en-GB"/>
        </w:rPr>
        <w:t xml:space="preserve"> </w:t>
      </w:r>
      <w:r w:rsidR="005224FC">
        <w:rPr>
          <w:rFonts w:ascii="Times New Roman" w:hAnsi="Times New Roman" w:cs="Times New Roman"/>
          <w:i/>
          <w:iCs/>
          <w:sz w:val="24"/>
          <w:szCs w:val="24"/>
          <w:lang w:val="en-GB"/>
        </w:rPr>
        <w:t xml:space="preserve">as if </w:t>
      </w:r>
      <w:r w:rsidR="005224FC">
        <w:rPr>
          <w:rFonts w:ascii="Times New Roman" w:hAnsi="Times New Roman" w:cs="Times New Roman"/>
          <w:sz w:val="24"/>
          <w:szCs w:val="24"/>
          <w:lang w:val="en-GB"/>
        </w:rPr>
        <w:t xml:space="preserve">there had been such negotiations </w:t>
      </w:r>
      <w:r w:rsidR="000D61B6">
        <w:rPr>
          <w:rFonts w:ascii="Times New Roman" w:hAnsi="Times New Roman" w:cs="Times New Roman"/>
          <w:sz w:val="24"/>
          <w:szCs w:val="24"/>
          <w:lang w:val="en-GB"/>
        </w:rPr>
        <w:t>as</w:t>
      </w:r>
      <w:r w:rsidR="005224FC">
        <w:rPr>
          <w:rFonts w:ascii="Times New Roman" w:hAnsi="Times New Roman" w:cs="Times New Roman"/>
          <w:sz w:val="24"/>
          <w:szCs w:val="24"/>
          <w:lang w:val="en-GB"/>
        </w:rPr>
        <w:t xml:space="preserve"> they realise that the delegation is conditional on their acting in the interest of </w:t>
      </w:r>
      <w:r w:rsidR="005224FC">
        <w:rPr>
          <w:rFonts w:ascii="Times New Roman" w:hAnsi="Times New Roman" w:cs="Times New Roman"/>
          <w:i/>
          <w:iCs/>
          <w:sz w:val="24"/>
          <w:szCs w:val="24"/>
          <w:lang w:val="en-GB"/>
        </w:rPr>
        <w:t xml:space="preserve">all </w:t>
      </w:r>
      <w:r w:rsidR="005224FC">
        <w:rPr>
          <w:rFonts w:ascii="Times New Roman" w:hAnsi="Times New Roman" w:cs="Times New Roman"/>
          <w:sz w:val="24"/>
          <w:szCs w:val="24"/>
          <w:lang w:val="en-GB"/>
        </w:rPr>
        <w:t>unions and employers’ associations.</w:t>
      </w:r>
    </w:p>
    <w:p w14:paraId="4D396612" w14:textId="6FB1676E" w:rsidR="005224FC" w:rsidRDefault="005E05A5" w:rsidP="006C3B1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seems to be an </w:t>
      </w:r>
      <w:r w:rsidR="006D0A42">
        <w:rPr>
          <w:rFonts w:ascii="Times New Roman" w:hAnsi="Times New Roman" w:cs="Times New Roman"/>
          <w:sz w:val="24"/>
          <w:szCs w:val="24"/>
          <w:lang w:val="en-GB"/>
        </w:rPr>
        <w:t xml:space="preserve">implicit assumption in many analyses </w:t>
      </w:r>
      <w:r w:rsidR="006624C0">
        <w:rPr>
          <w:rFonts w:ascii="Times New Roman" w:hAnsi="Times New Roman" w:cs="Times New Roman"/>
          <w:sz w:val="24"/>
          <w:szCs w:val="24"/>
          <w:lang w:val="en-GB"/>
        </w:rPr>
        <w:t>that pa</w:t>
      </w:r>
      <w:r w:rsidR="002D77C9">
        <w:rPr>
          <w:rFonts w:ascii="Times New Roman" w:hAnsi="Times New Roman" w:cs="Times New Roman"/>
          <w:sz w:val="24"/>
          <w:szCs w:val="24"/>
          <w:lang w:val="en-GB"/>
        </w:rPr>
        <w:t xml:space="preserve">ttern bargaining and centralised bargaining </w:t>
      </w:r>
      <w:r w:rsidR="004E78E7">
        <w:rPr>
          <w:rFonts w:ascii="Times New Roman" w:hAnsi="Times New Roman" w:cs="Times New Roman"/>
          <w:sz w:val="24"/>
          <w:szCs w:val="24"/>
          <w:lang w:val="en-GB"/>
        </w:rPr>
        <w:t>achieve</w:t>
      </w:r>
      <w:r w:rsidR="00AE3CBF">
        <w:rPr>
          <w:rFonts w:ascii="Times New Roman" w:hAnsi="Times New Roman" w:cs="Times New Roman"/>
          <w:sz w:val="24"/>
          <w:szCs w:val="24"/>
          <w:lang w:val="en-GB"/>
        </w:rPr>
        <w:t xml:space="preserve"> similar</w:t>
      </w:r>
      <w:r w:rsidR="004E78E7">
        <w:rPr>
          <w:rFonts w:ascii="Times New Roman" w:hAnsi="Times New Roman" w:cs="Times New Roman"/>
          <w:sz w:val="24"/>
          <w:szCs w:val="24"/>
          <w:lang w:val="en-GB"/>
        </w:rPr>
        <w:t xml:space="preserve"> internalisation of externalities.</w:t>
      </w:r>
      <w:r w:rsidR="00DA0764">
        <w:rPr>
          <w:rStyle w:val="FootnoteReference"/>
          <w:rFonts w:ascii="Times New Roman" w:hAnsi="Times New Roman" w:cs="Times New Roman"/>
          <w:sz w:val="24"/>
          <w:szCs w:val="24"/>
          <w:lang w:val="en-GB"/>
        </w:rPr>
        <w:footnoteReference w:id="27"/>
      </w:r>
      <w:r w:rsidR="00A77A0A">
        <w:rPr>
          <w:rFonts w:ascii="Times New Roman" w:hAnsi="Times New Roman" w:cs="Times New Roman"/>
          <w:sz w:val="24"/>
          <w:szCs w:val="24"/>
          <w:lang w:val="en-GB"/>
        </w:rPr>
        <w:t xml:space="preserve"> Empirical</w:t>
      </w:r>
      <w:r w:rsidR="00536BA2">
        <w:rPr>
          <w:rFonts w:ascii="Times New Roman" w:hAnsi="Times New Roman" w:cs="Times New Roman"/>
          <w:sz w:val="24"/>
          <w:szCs w:val="24"/>
          <w:lang w:val="en-GB"/>
        </w:rPr>
        <w:t xml:space="preserve"> studies</w:t>
      </w:r>
      <w:r w:rsidR="00A77A0A">
        <w:rPr>
          <w:rFonts w:ascii="Times New Roman" w:hAnsi="Times New Roman" w:cs="Times New Roman"/>
          <w:sz w:val="24"/>
          <w:szCs w:val="24"/>
          <w:lang w:val="en-GB"/>
        </w:rPr>
        <w:t xml:space="preserve"> </w:t>
      </w:r>
      <w:r w:rsidR="00F80155">
        <w:rPr>
          <w:rFonts w:ascii="Times New Roman" w:hAnsi="Times New Roman" w:cs="Times New Roman"/>
          <w:sz w:val="24"/>
          <w:szCs w:val="24"/>
          <w:lang w:val="en-GB"/>
        </w:rPr>
        <w:t>often classify</w:t>
      </w:r>
      <w:r w:rsidR="00536BA2">
        <w:rPr>
          <w:rFonts w:ascii="Times New Roman" w:hAnsi="Times New Roman" w:cs="Times New Roman"/>
          <w:sz w:val="24"/>
          <w:szCs w:val="24"/>
          <w:lang w:val="en-GB"/>
        </w:rPr>
        <w:t xml:space="preserve"> </w:t>
      </w:r>
      <w:r w:rsidR="009D20DE">
        <w:rPr>
          <w:rFonts w:ascii="Times New Roman" w:hAnsi="Times New Roman" w:cs="Times New Roman"/>
          <w:sz w:val="24"/>
          <w:szCs w:val="24"/>
          <w:lang w:val="en-GB"/>
        </w:rPr>
        <w:lastRenderedPageBreak/>
        <w:t>both bargaining systems</w:t>
      </w:r>
      <w:r w:rsidR="00A23F14">
        <w:rPr>
          <w:rFonts w:ascii="Times New Roman" w:hAnsi="Times New Roman" w:cs="Times New Roman"/>
          <w:sz w:val="24"/>
          <w:szCs w:val="24"/>
          <w:lang w:val="en-GB"/>
        </w:rPr>
        <w:t xml:space="preserve"> in the same category</w:t>
      </w:r>
      <w:r w:rsidR="00A33220">
        <w:rPr>
          <w:rFonts w:ascii="Times New Roman" w:hAnsi="Times New Roman" w:cs="Times New Roman"/>
          <w:sz w:val="24"/>
          <w:szCs w:val="24"/>
          <w:lang w:val="en-GB"/>
        </w:rPr>
        <w:t>, which is found</w:t>
      </w:r>
      <w:r w:rsidR="00536BA2">
        <w:rPr>
          <w:rFonts w:ascii="Times New Roman" w:hAnsi="Times New Roman" w:cs="Times New Roman"/>
          <w:sz w:val="24"/>
          <w:szCs w:val="24"/>
          <w:lang w:val="en-GB"/>
        </w:rPr>
        <w:t xml:space="preserve"> </w:t>
      </w:r>
      <w:r w:rsidR="00E372CC">
        <w:rPr>
          <w:rFonts w:ascii="Times New Roman" w:hAnsi="Times New Roman" w:cs="Times New Roman"/>
          <w:sz w:val="24"/>
          <w:szCs w:val="24"/>
          <w:lang w:val="en-GB"/>
        </w:rPr>
        <w:t>to be</w:t>
      </w:r>
      <w:r w:rsidR="00384880">
        <w:rPr>
          <w:rFonts w:ascii="Times New Roman" w:hAnsi="Times New Roman" w:cs="Times New Roman"/>
          <w:sz w:val="24"/>
          <w:szCs w:val="24"/>
          <w:lang w:val="en-GB"/>
        </w:rPr>
        <w:t xml:space="preserve"> conducive to </w:t>
      </w:r>
      <w:r w:rsidR="00D72155">
        <w:rPr>
          <w:rFonts w:ascii="Times New Roman" w:hAnsi="Times New Roman" w:cs="Times New Roman"/>
          <w:sz w:val="24"/>
          <w:szCs w:val="24"/>
          <w:lang w:val="en-GB"/>
        </w:rPr>
        <w:t>low unemployment,</w:t>
      </w:r>
      <w:r w:rsidR="00925497">
        <w:rPr>
          <w:rFonts w:ascii="Times New Roman" w:hAnsi="Times New Roman" w:cs="Times New Roman"/>
          <w:sz w:val="24"/>
          <w:szCs w:val="24"/>
          <w:lang w:val="en-GB"/>
        </w:rPr>
        <w:t xml:space="preserve"> </w:t>
      </w:r>
      <w:r w:rsidR="00D72155">
        <w:rPr>
          <w:rFonts w:ascii="Times New Roman" w:hAnsi="Times New Roman" w:cs="Times New Roman"/>
          <w:sz w:val="24"/>
          <w:szCs w:val="24"/>
          <w:lang w:val="en-GB"/>
        </w:rPr>
        <w:t>interpreted as evidence of wage restraint.</w:t>
      </w:r>
      <w:r w:rsidR="00B52522">
        <w:rPr>
          <w:rFonts w:ascii="Times New Roman" w:hAnsi="Times New Roman" w:cs="Times New Roman"/>
          <w:sz w:val="24"/>
          <w:szCs w:val="24"/>
          <w:lang w:val="en-GB"/>
        </w:rPr>
        <w:t xml:space="preserve"> An exception is OECD (</w:t>
      </w:r>
      <w:r w:rsidR="00955387">
        <w:rPr>
          <w:rFonts w:ascii="Times New Roman" w:hAnsi="Times New Roman" w:cs="Times New Roman"/>
          <w:sz w:val="24"/>
          <w:szCs w:val="24"/>
          <w:lang w:val="en-GB"/>
        </w:rPr>
        <w:t xml:space="preserve">2018), which distinguishes </w:t>
      </w:r>
      <w:r w:rsidR="00A07038">
        <w:rPr>
          <w:rFonts w:ascii="Times New Roman" w:hAnsi="Times New Roman" w:cs="Times New Roman"/>
          <w:sz w:val="24"/>
          <w:szCs w:val="24"/>
          <w:lang w:val="en-GB"/>
        </w:rPr>
        <w:t xml:space="preserve">between “predominantly centralised and coordinated </w:t>
      </w:r>
      <w:r w:rsidR="009A1B8E">
        <w:rPr>
          <w:rFonts w:ascii="Times New Roman" w:hAnsi="Times New Roman" w:cs="Times New Roman"/>
          <w:sz w:val="24"/>
          <w:szCs w:val="24"/>
          <w:lang w:val="en-GB"/>
        </w:rPr>
        <w:t>bargaining systems” and “organised decentralised and coordinated systems”</w:t>
      </w:r>
      <w:r w:rsidR="0072445C">
        <w:rPr>
          <w:rFonts w:ascii="Times New Roman" w:hAnsi="Times New Roman" w:cs="Times New Roman"/>
          <w:sz w:val="24"/>
          <w:szCs w:val="24"/>
          <w:lang w:val="en-GB"/>
        </w:rPr>
        <w:t>, the former corresponding to</w:t>
      </w:r>
      <w:r w:rsidR="001B5BED">
        <w:rPr>
          <w:rFonts w:ascii="Times New Roman" w:hAnsi="Times New Roman" w:cs="Times New Roman"/>
          <w:sz w:val="24"/>
          <w:szCs w:val="24"/>
          <w:lang w:val="en-GB"/>
        </w:rPr>
        <w:t xml:space="preserve"> peak-level bargaining and the latter to pattern </w:t>
      </w:r>
      <w:r w:rsidR="002B0C8C">
        <w:rPr>
          <w:rFonts w:ascii="Times New Roman" w:hAnsi="Times New Roman" w:cs="Times New Roman"/>
          <w:sz w:val="24"/>
          <w:szCs w:val="24"/>
          <w:lang w:val="en-GB"/>
        </w:rPr>
        <w:t>setting by the tradables sector</w:t>
      </w:r>
      <w:r w:rsidR="00064382">
        <w:rPr>
          <w:rFonts w:ascii="Times New Roman" w:hAnsi="Times New Roman" w:cs="Times New Roman"/>
          <w:sz w:val="24"/>
          <w:szCs w:val="24"/>
          <w:lang w:val="en-GB"/>
        </w:rPr>
        <w:t>, but still finds that both systems are conducive to high employment.</w:t>
      </w:r>
      <w:r w:rsidR="00160FC7">
        <w:rPr>
          <w:rStyle w:val="FootnoteReference"/>
          <w:rFonts w:ascii="Times New Roman" w:hAnsi="Times New Roman" w:cs="Times New Roman"/>
          <w:sz w:val="24"/>
          <w:szCs w:val="24"/>
          <w:lang w:val="en-GB"/>
        </w:rPr>
        <w:footnoteReference w:id="28"/>
      </w:r>
      <w:r w:rsidR="0072445C">
        <w:rPr>
          <w:rFonts w:ascii="Times New Roman" w:hAnsi="Times New Roman" w:cs="Times New Roman"/>
          <w:sz w:val="24"/>
          <w:szCs w:val="24"/>
          <w:lang w:val="en-GB"/>
        </w:rPr>
        <w:t xml:space="preserve"> </w:t>
      </w:r>
      <w:r w:rsidR="00536BA2">
        <w:rPr>
          <w:rFonts w:ascii="Times New Roman" w:hAnsi="Times New Roman" w:cs="Times New Roman"/>
          <w:sz w:val="24"/>
          <w:szCs w:val="24"/>
          <w:lang w:val="en-GB"/>
        </w:rPr>
        <w:t xml:space="preserve"> </w:t>
      </w:r>
    </w:p>
    <w:p w14:paraId="52449EB0" w14:textId="2066817C" w:rsidR="002D4F3C" w:rsidRDefault="002D4F3C" w:rsidP="002D4F3C">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Stackelb</w:t>
      </w:r>
      <w:r w:rsidR="009977FE">
        <w:rPr>
          <w:rFonts w:ascii="Times New Roman" w:hAnsi="Times New Roman" w:cs="Times New Roman"/>
          <w:i/>
          <w:iCs/>
          <w:sz w:val="24"/>
          <w:szCs w:val="24"/>
          <w:lang w:val="en-GB"/>
        </w:rPr>
        <w:t>erg solutions</w:t>
      </w:r>
    </w:p>
    <w:p w14:paraId="36FACFDF" w14:textId="742CC8D4" w:rsidR="00C24F17" w:rsidRPr="00C24F17" w:rsidRDefault="006F1C5B" w:rsidP="002D4F3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Another </w:t>
      </w:r>
      <w:r w:rsidR="00465EAD">
        <w:rPr>
          <w:rFonts w:ascii="Times New Roman" w:hAnsi="Times New Roman" w:cs="Times New Roman"/>
          <w:sz w:val="24"/>
          <w:szCs w:val="24"/>
          <w:lang w:val="en-GB"/>
        </w:rPr>
        <w:t xml:space="preserve">interpretation of pattern bargaining is as a Stackelberg </w:t>
      </w:r>
      <w:r w:rsidR="00BE0AE6">
        <w:rPr>
          <w:rFonts w:ascii="Times New Roman" w:hAnsi="Times New Roman" w:cs="Times New Roman"/>
          <w:sz w:val="24"/>
          <w:szCs w:val="24"/>
          <w:lang w:val="en-GB"/>
        </w:rPr>
        <w:t xml:space="preserve">game. Then bargainers in </w:t>
      </w:r>
      <w:r w:rsidR="00780164">
        <w:rPr>
          <w:rFonts w:ascii="Times New Roman" w:hAnsi="Times New Roman" w:cs="Times New Roman"/>
          <w:sz w:val="24"/>
          <w:szCs w:val="24"/>
          <w:lang w:val="en-GB"/>
        </w:rPr>
        <w:t xml:space="preserve">the </w:t>
      </w:r>
      <w:r w:rsidR="0096424A">
        <w:rPr>
          <w:rFonts w:ascii="Times New Roman" w:hAnsi="Times New Roman" w:cs="Times New Roman"/>
          <w:sz w:val="24"/>
          <w:szCs w:val="24"/>
          <w:lang w:val="en-GB"/>
        </w:rPr>
        <w:t>sector</w:t>
      </w:r>
      <w:r w:rsidR="00D26F97">
        <w:rPr>
          <w:rFonts w:ascii="Times New Roman" w:hAnsi="Times New Roman" w:cs="Times New Roman"/>
          <w:sz w:val="24"/>
          <w:szCs w:val="24"/>
          <w:lang w:val="en-GB"/>
        </w:rPr>
        <w:t xml:space="preserve"> concluding the first agreement</w:t>
      </w:r>
      <w:r w:rsidR="009B604F">
        <w:rPr>
          <w:rFonts w:ascii="Times New Roman" w:hAnsi="Times New Roman" w:cs="Times New Roman"/>
          <w:sz w:val="24"/>
          <w:szCs w:val="24"/>
          <w:lang w:val="en-GB"/>
        </w:rPr>
        <w:t xml:space="preserve"> (the leader)</w:t>
      </w:r>
      <w:r w:rsidR="00BE0AE6">
        <w:rPr>
          <w:rFonts w:ascii="Times New Roman" w:hAnsi="Times New Roman" w:cs="Times New Roman"/>
          <w:sz w:val="24"/>
          <w:szCs w:val="24"/>
          <w:lang w:val="en-GB"/>
        </w:rPr>
        <w:t xml:space="preserve"> are not concerned with </w:t>
      </w:r>
      <w:r w:rsidR="009F2621">
        <w:rPr>
          <w:rFonts w:ascii="Times New Roman" w:hAnsi="Times New Roman" w:cs="Times New Roman"/>
          <w:sz w:val="24"/>
          <w:szCs w:val="24"/>
          <w:lang w:val="en-GB"/>
        </w:rPr>
        <w:t>welfare</w:t>
      </w:r>
      <w:r w:rsidR="00216A71">
        <w:rPr>
          <w:rFonts w:ascii="Times New Roman" w:hAnsi="Times New Roman" w:cs="Times New Roman"/>
          <w:sz w:val="24"/>
          <w:szCs w:val="24"/>
          <w:lang w:val="en-GB"/>
        </w:rPr>
        <w:t xml:space="preserve"> in other </w:t>
      </w:r>
      <w:r w:rsidR="0096424A">
        <w:rPr>
          <w:rFonts w:ascii="Times New Roman" w:hAnsi="Times New Roman" w:cs="Times New Roman"/>
          <w:sz w:val="24"/>
          <w:szCs w:val="24"/>
          <w:lang w:val="en-GB"/>
        </w:rPr>
        <w:t>sectors</w:t>
      </w:r>
      <w:r w:rsidR="00183C0D">
        <w:rPr>
          <w:rFonts w:ascii="Times New Roman" w:hAnsi="Times New Roman" w:cs="Times New Roman"/>
          <w:sz w:val="24"/>
          <w:szCs w:val="24"/>
          <w:lang w:val="en-GB"/>
        </w:rPr>
        <w:t xml:space="preserve"> (followers)</w:t>
      </w:r>
      <w:r w:rsidR="00216A71">
        <w:rPr>
          <w:rFonts w:ascii="Times New Roman" w:hAnsi="Times New Roman" w:cs="Times New Roman"/>
          <w:sz w:val="24"/>
          <w:szCs w:val="24"/>
          <w:lang w:val="en-GB"/>
        </w:rPr>
        <w:t xml:space="preserve"> per se. </w:t>
      </w:r>
      <w:r w:rsidR="00BA1B9F">
        <w:rPr>
          <w:rFonts w:ascii="Times New Roman" w:hAnsi="Times New Roman" w:cs="Times New Roman"/>
          <w:sz w:val="24"/>
          <w:szCs w:val="24"/>
          <w:lang w:val="en-GB"/>
        </w:rPr>
        <w:t>Instead,</w:t>
      </w:r>
      <w:r w:rsidR="00D36E57">
        <w:rPr>
          <w:rFonts w:ascii="Times New Roman" w:hAnsi="Times New Roman" w:cs="Times New Roman"/>
          <w:sz w:val="24"/>
          <w:szCs w:val="24"/>
          <w:lang w:val="en-GB"/>
        </w:rPr>
        <w:t xml:space="preserve"> the</w:t>
      </w:r>
      <w:r w:rsidR="001760CE">
        <w:rPr>
          <w:rFonts w:ascii="Times New Roman" w:hAnsi="Times New Roman" w:cs="Times New Roman"/>
          <w:sz w:val="24"/>
          <w:szCs w:val="24"/>
          <w:lang w:val="en-GB"/>
        </w:rPr>
        <w:t xml:space="preserve"> welfare </w:t>
      </w:r>
      <w:r w:rsidR="00422782">
        <w:rPr>
          <w:rFonts w:ascii="Times New Roman" w:hAnsi="Times New Roman" w:cs="Times New Roman"/>
          <w:sz w:val="24"/>
          <w:szCs w:val="24"/>
          <w:lang w:val="en-GB"/>
        </w:rPr>
        <w:t xml:space="preserve">of agents in </w:t>
      </w:r>
      <w:r w:rsidR="00630CB2">
        <w:rPr>
          <w:rFonts w:ascii="Times New Roman" w:hAnsi="Times New Roman" w:cs="Times New Roman"/>
          <w:sz w:val="24"/>
          <w:szCs w:val="24"/>
          <w:lang w:val="en-GB"/>
        </w:rPr>
        <w:t xml:space="preserve">the </w:t>
      </w:r>
      <w:r w:rsidR="0015204B">
        <w:rPr>
          <w:rFonts w:ascii="Times New Roman" w:hAnsi="Times New Roman" w:cs="Times New Roman"/>
          <w:sz w:val="24"/>
          <w:szCs w:val="24"/>
          <w:lang w:val="en-GB"/>
        </w:rPr>
        <w:t>leader</w:t>
      </w:r>
      <w:r w:rsidR="00422782">
        <w:rPr>
          <w:rFonts w:ascii="Times New Roman" w:hAnsi="Times New Roman" w:cs="Times New Roman"/>
          <w:sz w:val="24"/>
          <w:szCs w:val="24"/>
          <w:lang w:val="en-GB"/>
        </w:rPr>
        <w:t xml:space="preserve"> sector</w:t>
      </w:r>
      <w:r w:rsidR="00BA1B9F">
        <w:rPr>
          <w:rFonts w:ascii="Times New Roman" w:hAnsi="Times New Roman" w:cs="Times New Roman"/>
          <w:sz w:val="24"/>
          <w:szCs w:val="24"/>
          <w:lang w:val="en-GB"/>
        </w:rPr>
        <w:t xml:space="preserve"> is </w:t>
      </w:r>
      <w:r w:rsidR="00630CB2">
        <w:rPr>
          <w:rFonts w:ascii="Times New Roman" w:hAnsi="Times New Roman" w:cs="Times New Roman"/>
          <w:sz w:val="24"/>
          <w:szCs w:val="24"/>
          <w:lang w:val="en-GB"/>
        </w:rPr>
        <w:t>maximised</w:t>
      </w:r>
      <w:r w:rsidR="0015204B">
        <w:rPr>
          <w:rFonts w:ascii="Times New Roman" w:hAnsi="Times New Roman" w:cs="Times New Roman"/>
          <w:sz w:val="24"/>
          <w:szCs w:val="24"/>
          <w:lang w:val="en-GB"/>
        </w:rPr>
        <w:t>,</w:t>
      </w:r>
      <w:r w:rsidR="00916A88">
        <w:rPr>
          <w:rFonts w:ascii="Times New Roman" w:hAnsi="Times New Roman" w:cs="Times New Roman"/>
          <w:sz w:val="24"/>
          <w:szCs w:val="24"/>
          <w:lang w:val="en-GB"/>
        </w:rPr>
        <w:t xml:space="preserve"> </w:t>
      </w:r>
      <w:r w:rsidR="00986DB9">
        <w:rPr>
          <w:rFonts w:ascii="Times New Roman" w:hAnsi="Times New Roman" w:cs="Times New Roman"/>
          <w:sz w:val="24"/>
          <w:szCs w:val="24"/>
          <w:lang w:val="en-GB"/>
        </w:rPr>
        <w:t xml:space="preserve">but </w:t>
      </w:r>
      <w:r w:rsidR="007062F7">
        <w:rPr>
          <w:rFonts w:ascii="Times New Roman" w:hAnsi="Times New Roman" w:cs="Times New Roman"/>
          <w:sz w:val="24"/>
          <w:szCs w:val="24"/>
          <w:lang w:val="en-GB"/>
        </w:rPr>
        <w:t>when doing this</w:t>
      </w:r>
      <w:r w:rsidR="0015204B">
        <w:rPr>
          <w:rFonts w:ascii="Times New Roman" w:hAnsi="Times New Roman" w:cs="Times New Roman"/>
          <w:sz w:val="24"/>
          <w:szCs w:val="24"/>
          <w:lang w:val="en-GB"/>
        </w:rPr>
        <w:t>,</w:t>
      </w:r>
      <w:r w:rsidR="007062F7">
        <w:rPr>
          <w:rFonts w:ascii="Times New Roman" w:hAnsi="Times New Roman" w:cs="Times New Roman"/>
          <w:sz w:val="24"/>
          <w:szCs w:val="24"/>
          <w:lang w:val="en-GB"/>
        </w:rPr>
        <w:t xml:space="preserve"> the effect of the own wage decision on </w:t>
      </w:r>
      <w:r w:rsidR="0015204B">
        <w:rPr>
          <w:rFonts w:ascii="Times New Roman" w:hAnsi="Times New Roman" w:cs="Times New Roman"/>
          <w:sz w:val="24"/>
          <w:szCs w:val="24"/>
          <w:lang w:val="en-GB"/>
        </w:rPr>
        <w:t xml:space="preserve">follower </w:t>
      </w:r>
      <w:r w:rsidR="005C203A">
        <w:rPr>
          <w:rFonts w:ascii="Times New Roman" w:hAnsi="Times New Roman" w:cs="Times New Roman"/>
          <w:sz w:val="24"/>
          <w:szCs w:val="24"/>
          <w:lang w:val="en-GB"/>
        </w:rPr>
        <w:t xml:space="preserve">wages </w:t>
      </w:r>
      <w:r w:rsidR="00C05BD2">
        <w:rPr>
          <w:rFonts w:ascii="Times New Roman" w:hAnsi="Times New Roman" w:cs="Times New Roman"/>
          <w:sz w:val="24"/>
          <w:szCs w:val="24"/>
          <w:lang w:val="en-GB"/>
        </w:rPr>
        <w:t xml:space="preserve">and </w:t>
      </w:r>
      <w:r w:rsidR="0003222D">
        <w:rPr>
          <w:rFonts w:ascii="Times New Roman" w:hAnsi="Times New Roman" w:cs="Times New Roman"/>
          <w:sz w:val="24"/>
          <w:szCs w:val="24"/>
          <w:lang w:val="en-GB"/>
        </w:rPr>
        <w:t>the subsequent repercussions</w:t>
      </w:r>
      <w:r w:rsidR="004D409B">
        <w:rPr>
          <w:rFonts w:ascii="Times New Roman" w:hAnsi="Times New Roman" w:cs="Times New Roman"/>
          <w:sz w:val="24"/>
          <w:szCs w:val="24"/>
          <w:lang w:val="en-GB"/>
        </w:rPr>
        <w:t xml:space="preserve"> </w:t>
      </w:r>
      <w:r w:rsidR="00716BAE">
        <w:rPr>
          <w:rFonts w:ascii="Times New Roman" w:hAnsi="Times New Roman" w:cs="Times New Roman"/>
          <w:sz w:val="24"/>
          <w:szCs w:val="24"/>
          <w:lang w:val="en-GB"/>
        </w:rPr>
        <w:t>on the own sector</w:t>
      </w:r>
      <w:r w:rsidR="00891190">
        <w:rPr>
          <w:rFonts w:ascii="Times New Roman" w:hAnsi="Times New Roman" w:cs="Times New Roman"/>
          <w:sz w:val="24"/>
          <w:szCs w:val="24"/>
          <w:lang w:val="en-GB"/>
        </w:rPr>
        <w:t xml:space="preserve"> are considered</w:t>
      </w:r>
      <w:r w:rsidR="005B0BCD">
        <w:rPr>
          <w:rFonts w:ascii="Times New Roman" w:hAnsi="Times New Roman" w:cs="Times New Roman"/>
          <w:sz w:val="24"/>
          <w:szCs w:val="24"/>
          <w:lang w:val="en-GB"/>
        </w:rPr>
        <w:t>.</w:t>
      </w:r>
      <w:r w:rsidR="00422782">
        <w:rPr>
          <w:rFonts w:ascii="Times New Roman" w:hAnsi="Times New Roman" w:cs="Times New Roman"/>
          <w:sz w:val="24"/>
          <w:szCs w:val="24"/>
          <w:lang w:val="en-GB"/>
        </w:rPr>
        <w:t xml:space="preserve"> </w:t>
      </w:r>
    </w:p>
    <w:p w14:paraId="6F673D8D" w14:textId="7A24EE0E" w:rsidR="008E73D8" w:rsidRDefault="00B20FFC" w:rsidP="006555F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Calmfors </w:t>
      </w:r>
      <w:r w:rsidR="000B4FB0">
        <w:rPr>
          <w:rFonts w:ascii="Times New Roman" w:hAnsi="Times New Roman" w:cs="Times New Roman"/>
          <w:sz w:val="24"/>
          <w:szCs w:val="24"/>
          <w:lang w:val="en-GB"/>
        </w:rPr>
        <w:t>and Seim (2013) analyse Stack</w:t>
      </w:r>
      <w:r w:rsidR="00F77D03">
        <w:rPr>
          <w:rFonts w:ascii="Times New Roman" w:hAnsi="Times New Roman" w:cs="Times New Roman"/>
          <w:sz w:val="24"/>
          <w:szCs w:val="24"/>
          <w:lang w:val="en-GB"/>
        </w:rPr>
        <w:t>elberg games between</w:t>
      </w:r>
      <w:r w:rsidR="00F0748E">
        <w:rPr>
          <w:rFonts w:ascii="Times New Roman" w:hAnsi="Times New Roman" w:cs="Times New Roman"/>
          <w:sz w:val="24"/>
          <w:szCs w:val="24"/>
          <w:lang w:val="en-GB"/>
        </w:rPr>
        <w:t xml:space="preserve"> </w:t>
      </w:r>
      <w:r w:rsidR="000E0CD4">
        <w:rPr>
          <w:rFonts w:ascii="Times New Roman" w:hAnsi="Times New Roman" w:cs="Times New Roman"/>
          <w:sz w:val="24"/>
          <w:szCs w:val="24"/>
          <w:lang w:val="en-GB"/>
        </w:rPr>
        <w:t>a tradables and</w:t>
      </w:r>
      <w:r w:rsidR="00892B5D">
        <w:rPr>
          <w:rFonts w:ascii="Times New Roman" w:hAnsi="Times New Roman" w:cs="Times New Roman"/>
          <w:sz w:val="24"/>
          <w:szCs w:val="24"/>
          <w:lang w:val="en-GB"/>
        </w:rPr>
        <w:t xml:space="preserve"> </w:t>
      </w:r>
      <w:r w:rsidR="000E0CD4">
        <w:rPr>
          <w:rFonts w:ascii="Times New Roman" w:hAnsi="Times New Roman" w:cs="Times New Roman"/>
          <w:sz w:val="24"/>
          <w:szCs w:val="24"/>
          <w:lang w:val="en-GB"/>
        </w:rPr>
        <w:t xml:space="preserve">a </w:t>
      </w:r>
      <w:r w:rsidR="008B3895">
        <w:rPr>
          <w:rFonts w:ascii="Times New Roman" w:hAnsi="Times New Roman" w:cs="Times New Roman"/>
          <w:sz w:val="24"/>
          <w:szCs w:val="24"/>
          <w:lang w:val="en-GB"/>
        </w:rPr>
        <w:t>nontradables</w:t>
      </w:r>
      <w:r w:rsidR="00D42F00">
        <w:rPr>
          <w:rFonts w:ascii="Times New Roman" w:hAnsi="Times New Roman" w:cs="Times New Roman"/>
          <w:sz w:val="24"/>
          <w:szCs w:val="24"/>
          <w:lang w:val="en-GB"/>
        </w:rPr>
        <w:t xml:space="preserve"> </w:t>
      </w:r>
      <w:r w:rsidR="00892B5D">
        <w:rPr>
          <w:rFonts w:ascii="Times New Roman" w:hAnsi="Times New Roman" w:cs="Times New Roman"/>
          <w:sz w:val="24"/>
          <w:szCs w:val="24"/>
          <w:lang w:val="en-GB"/>
        </w:rPr>
        <w:t>sector</w:t>
      </w:r>
      <w:r w:rsidR="00525701">
        <w:rPr>
          <w:rFonts w:ascii="Times New Roman" w:hAnsi="Times New Roman" w:cs="Times New Roman"/>
          <w:sz w:val="24"/>
          <w:szCs w:val="24"/>
          <w:lang w:val="en-GB"/>
        </w:rPr>
        <w:t xml:space="preserve">. The model is neoclassical </w:t>
      </w:r>
      <w:r w:rsidR="003E3706">
        <w:rPr>
          <w:rFonts w:ascii="Times New Roman" w:hAnsi="Times New Roman" w:cs="Times New Roman"/>
          <w:sz w:val="24"/>
          <w:szCs w:val="24"/>
          <w:lang w:val="en-GB"/>
        </w:rPr>
        <w:t>with</w:t>
      </w:r>
      <w:r w:rsidR="00525701">
        <w:rPr>
          <w:rFonts w:ascii="Times New Roman" w:hAnsi="Times New Roman" w:cs="Times New Roman"/>
          <w:sz w:val="24"/>
          <w:szCs w:val="24"/>
          <w:lang w:val="en-GB"/>
        </w:rPr>
        <w:t xml:space="preserve"> output and employment in each sector depend</w:t>
      </w:r>
      <w:r w:rsidR="00C64B24">
        <w:rPr>
          <w:rFonts w:ascii="Times New Roman" w:hAnsi="Times New Roman" w:cs="Times New Roman"/>
          <w:sz w:val="24"/>
          <w:szCs w:val="24"/>
          <w:lang w:val="en-GB"/>
        </w:rPr>
        <w:t>ing</w:t>
      </w:r>
      <w:r w:rsidR="00515ACE">
        <w:rPr>
          <w:rFonts w:ascii="Times New Roman" w:hAnsi="Times New Roman" w:cs="Times New Roman"/>
          <w:sz w:val="24"/>
          <w:szCs w:val="24"/>
          <w:lang w:val="en-GB"/>
        </w:rPr>
        <w:t xml:space="preserve"> negatively</w:t>
      </w:r>
      <w:r w:rsidR="00525701">
        <w:rPr>
          <w:rFonts w:ascii="Times New Roman" w:hAnsi="Times New Roman" w:cs="Times New Roman"/>
          <w:sz w:val="24"/>
          <w:szCs w:val="24"/>
          <w:lang w:val="en-GB"/>
        </w:rPr>
        <w:t xml:space="preserve"> on the real product wage t</w:t>
      </w:r>
      <w:r w:rsidR="008D174A">
        <w:rPr>
          <w:rFonts w:ascii="Times New Roman" w:hAnsi="Times New Roman" w:cs="Times New Roman"/>
          <w:sz w:val="24"/>
          <w:szCs w:val="24"/>
          <w:lang w:val="en-GB"/>
        </w:rPr>
        <w:t>her</w:t>
      </w:r>
      <w:r w:rsidR="00525701">
        <w:rPr>
          <w:rFonts w:ascii="Times New Roman" w:hAnsi="Times New Roman" w:cs="Times New Roman"/>
          <w:sz w:val="24"/>
          <w:szCs w:val="24"/>
          <w:lang w:val="en-GB"/>
        </w:rPr>
        <w:t>e (the</w:t>
      </w:r>
      <w:r w:rsidR="00515ACE">
        <w:rPr>
          <w:rFonts w:ascii="Times New Roman" w:hAnsi="Times New Roman" w:cs="Times New Roman"/>
          <w:sz w:val="24"/>
          <w:szCs w:val="24"/>
          <w:lang w:val="en-GB"/>
        </w:rPr>
        <w:t xml:space="preserve"> ratio between the </w:t>
      </w:r>
      <w:r w:rsidR="00CE0027">
        <w:rPr>
          <w:rFonts w:ascii="Times New Roman" w:hAnsi="Times New Roman" w:cs="Times New Roman"/>
          <w:sz w:val="24"/>
          <w:szCs w:val="24"/>
          <w:lang w:val="en-GB"/>
        </w:rPr>
        <w:t xml:space="preserve">wage and the </w:t>
      </w:r>
      <w:r w:rsidR="00F25A33">
        <w:rPr>
          <w:rFonts w:ascii="Times New Roman" w:hAnsi="Times New Roman" w:cs="Times New Roman"/>
          <w:sz w:val="24"/>
          <w:szCs w:val="24"/>
          <w:lang w:val="en-GB"/>
        </w:rPr>
        <w:t xml:space="preserve">product </w:t>
      </w:r>
      <w:r w:rsidR="00CE0027">
        <w:rPr>
          <w:rFonts w:ascii="Times New Roman" w:hAnsi="Times New Roman" w:cs="Times New Roman"/>
          <w:sz w:val="24"/>
          <w:szCs w:val="24"/>
          <w:lang w:val="en-GB"/>
        </w:rPr>
        <w:t>price).</w:t>
      </w:r>
      <w:r w:rsidR="00083446">
        <w:rPr>
          <w:rFonts w:ascii="Times New Roman" w:hAnsi="Times New Roman" w:cs="Times New Roman"/>
          <w:sz w:val="24"/>
          <w:szCs w:val="24"/>
          <w:lang w:val="en-GB"/>
        </w:rPr>
        <w:t xml:space="preserve"> In each sector</w:t>
      </w:r>
      <w:r w:rsidR="005420EE">
        <w:rPr>
          <w:rFonts w:ascii="Times New Roman" w:hAnsi="Times New Roman" w:cs="Times New Roman"/>
          <w:sz w:val="24"/>
          <w:szCs w:val="24"/>
          <w:lang w:val="en-GB"/>
        </w:rPr>
        <w:t>, a</w:t>
      </w:r>
      <w:r w:rsidR="007B40A1">
        <w:rPr>
          <w:rFonts w:ascii="Times New Roman" w:hAnsi="Times New Roman" w:cs="Times New Roman"/>
          <w:sz w:val="24"/>
          <w:szCs w:val="24"/>
          <w:lang w:val="en-GB"/>
        </w:rPr>
        <w:t>n</w:t>
      </w:r>
      <w:r w:rsidR="00C83AD2">
        <w:rPr>
          <w:rFonts w:ascii="Times New Roman" w:hAnsi="Times New Roman" w:cs="Times New Roman"/>
          <w:sz w:val="24"/>
          <w:szCs w:val="24"/>
          <w:lang w:val="en-GB"/>
        </w:rPr>
        <w:t xml:space="preserve"> </w:t>
      </w:r>
      <w:r w:rsidR="00B11A5C">
        <w:rPr>
          <w:rFonts w:ascii="Times New Roman" w:hAnsi="Times New Roman" w:cs="Times New Roman"/>
          <w:sz w:val="24"/>
          <w:szCs w:val="24"/>
          <w:lang w:val="en-GB"/>
        </w:rPr>
        <w:t>employers</w:t>
      </w:r>
      <w:r w:rsidR="003E5C88">
        <w:rPr>
          <w:rFonts w:ascii="Times New Roman" w:hAnsi="Times New Roman" w:cs="Times New Roman"/>
          <w:sz w:val="24"/>
          <w:szCs w:val="24"/>
          <w:lang w:val="en-GB"/>
        </w:rPr>
        <w:t>’ association</w:t>
      </w:r>
      <w:r w:rsidR="00AF324C">
        <w:rPr>
          <w:rFonts w:ascii="Times New Roman" w:hAnsi="Times New Roman" w:cs="Times New Roman"/>
          <w:sz w:val="24"/>
          <w:szCs w:val="24"/>
          <w:lang w:val="en-GB"/>
        </w:rPr>
        <w:t xml:space="preserve"> </w:t>
      </w:r>
      <w:r w:rsidR="00C83AD2">
        <w:rPr>
          <w:rFonts w:ascii="Times New Roman" w:hAnsi="Times New Roman" w:cs="Times New Roman"/>
          <w:sz w:val="24"/>
          <w:szCs w:val="24"/>
          <w:lang w:val="en-GB"/>
        </w:rPr>
        <w:t>bargains with a</w:t>
      </w:r>
      <w:r w:rsidR="00AF324C">
        <w:rPr>
          <w:rFonts w:ascii="Times New Roman" w:hAnsi="Times New Roman" w:cs="Times New Roman"/>
          <w:sz w:val="24"/>
          <w:szCs w:val="24"/>
          <w:lang w:val="en-GB"/>
        </w:rPr>
        <w:t xml:space="preserve"> union</w:t>
      </w:r>
      <w:r w:rsidR="003E5C88">
        <w:rPr>
          <w:rFonts w:ascii="Times New Roman" w:hAnsi="Times New Roman" w:cs="Times New Roman"/>
          <w:sz w:val="24"/>
          <w:szCs w:val="24"/>
          <w:lang w:val="en-GB"/>
        </w:rPr>
        <w:t xml:space="preserve">. </w:t>
      </w:r>
      <w:r w:rsidR="00AF324C">
        <w:rPr>
          <w:rFonts w:ascii="Times New Roman" w:hAnsi="Times New Roman" w:cs="Times New Roman"/>
          <w:sz w:val="24"/>
          <w:szCs w:val="24"/>
          <w:lang w:val="en-GB"/>
        </w:rPr>
        <w:t xml:space="preserve">The former tries to maximise </w:t>
      </w:r>
      <w:r w:rsidR="003E1DAB">
        <w:rPr>
          <w:rFonts w:ascii="Times New Roman" w:hAnsi="Times New Roman" w:cs="Times New Roman"/>
          <w:sz w:val="24"/>
          <w:szCs w:val="24"/>
          <w:lang w:val="en-GB"/>
        </w:rPr>
        <w:t>real profits (nominal profits deflated by the CPI</w:t>
      </w:r>
      <w:r w:rsidR="00F102DC">
        <w:rPr>
          <w:rFonts w:ascii="Times New Roman" w:hAnsi="Times New Roman" w:cs="Times New Roman"/>
          <w:sz w:val="24"/>
          <w:szCs w:val="24"/>
          <w:lang w:val="en-GB"/>
        </w:rPr>
        <w:t>)</w:t>
      </w:r>
      <w:r w:rsidR="00656B5F">
        <w:rPr>
          <w:rFonts w:ascii="Times New Roman" w:hAnsi="Times New Roman" w:cs="Times New Roman"/>
          <w:sz w:val="24"/>
          <w:szCs w:val="24"/>
          <w:lang w:val="en-GB"/>
        </w:rPr>
        <w:t xml:space="preserve">, the latter a utility function which depends positively on the </w:t>
      </w:r>
      <w:r w:rsidR="00EE67C1">
        <w:rPr>
          <w:rFonts w:ascii="Times New Roman" w:hAnsi="Times New Roman" w:cs="Times New Roman"/>
          <w:sz w:val="24"/>
          <w:szCs w:val="24"/>
          <w:lang w:val="en-GB"/>
        </w:rPr>
        <w:t xml:space="preserve">real consumption </w:t>
      </w:r>
      <w:r w:rsidR="003C2E96">
        <w:rPr>
          <w:rFonts w:ascii="Times New Roman" w:hAnsi="Times New Roman" w:cs="Times New Roman"/>
          <w:sz w:val="24"/>
          <w:szCs w:val="24"/>
          <w:lang w:val="en-GB"/>
        </w:rPr>
        <w:t>wage</w:t>
      </w:r>
      <w:r w:rsidR="0010610B">
        <w:rPr>
          <w:rFonts w:ascii="Times New Roman" w:hAnsi="Times New Roman" w:cs="Times New Roman"/>
          <w:sz w:val="24"/>
          <w:szCs w:val="24"/>
          <w:lang w:val="en-GB"/>
        </w:rPr>
        <w:t xml:space="preserve"> (the </w:t>
      </w:r>
      <w:r w:rsidR="000C3DF7">
        <w:rPr>
          <w:rFonts w:ascii="Times New Roman" w:hAnsi="Times New Roman" w:cs="Times New Roman"/>
          <w:sz w:val="24"/>
          <w:szCs w:val="24"/>
          <w:lang w:val="en-GB"/>
        </w:rPr>
        <w:t>nominal wage deflated by the CPI)</w:t>
      </w:r>
      <w:r w:rsidR="003C2E96">
        <w:rPr>
          <w:rFonts w:ascii="Times New Roman" w:hAnsi="Times New Roman" w:cs="Times New Roman"/>
          <w:sz w:val="24"/>
          <w:szCs w:val="24"/>
          <w:lang w:val="en-GB"/>
        </w:rPr>
        <w:t xml:space="preserve"> </w:t>
      </w:r>
      <w:r w:rsidR="00D870E8">
        <w:rPr>
          <w:rFonts w:ascii="Times New Roman" w:hAnsi="Times New Roman" w:cs="Times New Roman"/>
          <w:sz w:val="24"/>
          <w:szCs w:val="24"/>
          <w:lang w:val="en-GB"/>
        </w:rPr>
        <w:t>and employment.</w:t>
      </w:r>
      <w:r w:rsidR="0042693F">
        <w:rPr>
          <w:rFonts w:ascii="Times New Roman" w:hAnsi="Times New Roman" w:cs="Times New Roman"/>
          <w:sz w:val="24"/>
          <w:szCs w:val="24"/>
          <w:lang w:val="en-GB"/>
        </w:rPr>
        <w:t xml:space="preserve"> </w:t>
      </w:r>
      <w:r w:rsidR="00D1774F">
        <w:rPr>
          <w:rFonts w:ascii="Times New Roman" w:hAnsi="Times New Roman" w:cs="Times New Roman"/>
          <w:sz w:val="24"/>
          <w:szCs w:val="24"/>
          <w:lang w:val="en-GB"/>
        </w:rPr>
        <w:t>Stackelberg equilibria with eit</w:t>
      </w:r>
      <w:r w:rsidR="008D174A">
        <w:rPr>
          <w:rFonts w:ascii="Times New Roman" w:hAnsi="Times New Roman" w:cs="Times New Roman"/>
          <w:sz w:val="24"/>
          <w:szCs w:val="24"/>
          <w:lang w:val="en-GB"/>
        </w:rPr>
        <w:t>her</w:t>
      </w:r>
      <w:r w:rsidR="00D1774F">
        <w:rPr>
          <w:rFonts w:ascii="Times New Roman" w:hAnsi="Times New Roman" w:cs="Times New Roman"/>
          <w:sz w:val="24"/>
          <w:szCs w:val="24"/>
          <w:lang w:val="en-GB"/>
        </w:rPr>
        <w:t xml:space="preserve"> the tradables or the </w:t>
      </w:r>
      <w:r w:rsidR="008B3895">
        <w:rPr>
          <w:rFonts w:ascii="Times New Roman" w:hAnsi="Times New Roman" w:cs="Times New Roman"/>
          <w:sz w:val="24"/>
          <w:szCs w:val="24"/>
          <w:lang w:val="en-GB"/>
        </w:rPr>
        <w:t>nontradables</w:t>
      </w:r>
      <w:r w:rsidR="00D1774F">
        <w:rPr>
          <w:rFonts w:ascii="Times New Roman" w:hAnsi="Times New Roman" w:cs="Times New Roman"/>
          <w:sz w:val="24"/>
          <w:szCs w:val="24"/>
          <w:lang w:val="en-GB"/>
        </w:rPr>
        <w:t xml:space="preserve"> sector as </w:t>
      </w:r>
      <w:r w:rsidR="00FC1F97">
        <w:rPr>
          <w:rFonts w:ascii="Times New Roman" w:hAnsi="Times New Roman" w:cs="Times New Roman"/>
          <w:sz w:val="24"/>
          <w:szCs w:val="24"/>
          <w:lang w:val="en-GB"/>
        </w:rPr>
        <w:t xml:space="preserve">leader are compared with </w:t>
      </w:r>
      <w:r w:rsidR="00035270">
        <w:rPr>
          <w:rFonts w:ascii="Times New Roman" w:hAnsi="Times New Roman" w:cs="Times New Roman"/>
          <w:sz w:val="24"/>
          <w:szCs w:val="24"/>
          <w:lang w:val="en-GB"/>
        </w:rPr>
        <w:t xml:space="preserve">uncoordinated wage setting, </w:t>
      </w:r>
      <w:r w:rsidR="004B0BD0">
        <w:rPr>
          <w:rFonts w:ascii="Times New Roman" w:hAnsi="Times New Roman" w:cs="Times New Roman"/>
          <w:sz w:val="24"/>
          <w:szCs w:val="24"/>
          <w:lang w:val="en-GB"/>
        </w:rPr>
        <w:t xml:space="preserve">so-called </w:t>
      </w:r>
      <w:r w:rsidR="00035270">
        <w:rPr>
          <w:rFonts w:ascii="Times New Roman" w:hAnsi="Times New Roman" w:cs="Times New Roman"/>
          <w:sz w:val="24"/>
          <w:szCs w:val="24"/>
          <w:lang w:val="en-GB"/>
        </w:rPr>
        <w:t>Nash equilibria</w:t>
      </w:r>
      <w:r w:rsidR="008773D1">
        <w:rPr>
          <w:rFonts w:ascii="Times New Roman" w:hAnsi="Times New Roman" w:cs="Times New Roman"/>
          <w:sz w:val="24"/>
          <w:szCs w:val="24"/>
          <w:lang w:val="en-GB"/>
        </w:rPr>
        <w:t>,</w:t>
      </w:r>
      <w:r w:rsidR="00035270">
        <w:rPr>
          <w:rFonts w:ascii="Times New Roman" w:hAnsi="Times New Roman" w:cs="Times New Roman"/>
          <w:sz w:val="24"/>
          <w:szCs w:val="24"/>
          <w:lang w:val="en-GB"/>
        </w:rPr>
        <w:t xml:space="preserve"> </w:t>
      </w:r>
      <w:r w:rsidR="00D756B7">
        <w:rPr>
          <w:rFonts w:ascii="Times New Roman" w:hAnsi="Times New Roman" w:cs="Times New Roman"/>
          <w:sz w:val="24"/>
          <w:szCs w:val="24"/>
          <w:lang w:val="en-GB"/>
        </w:rPr>
        <w:t>w</w:t>
      </w:r>
      <w:r w:rsidR="008D174A">
        <w:rPr>
          <w:rFonts w:ascii="Times New Roman" w:hAnsi="Times New Roman" w:cs="Times New Roman"/>
          <w:sz w:val="24"/>
          <w:szCs w:val="24"/>
          <w:lang w:val="en-GB"/>
        </w:rPr>
        <w:t>her</w:t>
      </w:r>
      <w:r w:rsidR="00D756B7">
        <w:rPr>
          <w:rFonts w:ascii="Times New Roman" w:hAnsi="Times New Roman" w:cs="Times New Roman"/>
          <w:sz w:val="24"/>
          <w:szCs w:val="24"/>
          <w:lang w:val="en-GB"/>
        </w:rPr>
        <w:t xml:space="preserve">e </w:t>
      </w:r>
      <w:r w:rsidR="007740CE">
        <w:rPr>
          <w:rFonts w:ascii="Times New Roman" w:hAnsi="Times New Roman" w:cs="Times New Roman"/>
          <w:sz w:val="24"/>
          <w:szCs w:val="24"/>
          <w:lang w:val="en-GB"/>
        </w:rPr>
        <w:t>the two sectors determine their wages simultaneously</w:t>
      </w:r>
      <w:r w:rsidR="00F102DC">
        <w:rPr>
          <w:rFonts w:ascii="Times New Roman" w:hAnsi="Times New Roman" w:cs="Times New Roman"/>
          <w:sz w:val="24"/>
          <w:szCs w:val="24"/>
          <w:lang w:val="en-GB"/>
        </w:rPr>
        <w:t>,</w:t>
      </w:r>
      <w:r w:rsidR="007740CE">
        <w:rPr>
          <w:rFonts w:ascii="Times New Roman" w:hAnsi="Times New Roman" w:cs="Times New Roman"/>
          <w:sz w:val="24"/>
          <w:szCs w:val="24"/>
          <w:lang w:val="en-GB"/>
        </w:rPr>
        <w:t xml:space="preserve"> taking the </w:t>
      </w:r>
      <w:r w:rsidR="00B8181F">
        <w:rPr>
          <w:rFonts w:ascii="Times New Roman" w:hAnsi="Times New Roman" w:cs="Times New Roman"/>
          <w:sz w:val="24"/>
          <w:szCs w:val="24"/>
          <w:lang w:val="en-GB"/>
        </w:rPr>
        <w:t>wage in the ot</w:t>
      </w:r>
      <w:r w:rsidR="008D174A">
        <w:rPr>
          <w:rFonts w:ascii="Times New Roman" w:hAnsi="Times New Roman" w:cs="Times New Roman"/>
          <w:sz w:val="24"/>
          <w:szCs w:val="24"/>
          <w:lang w:val="en-GB"/>
        </w:rPr>
        <w:t>her</w:t>
      </w:r>
      <w:r w:rsidR="00B8181F">
        <w:rPr>
          <w:rFonts w:ascii="Times New Roman" w:hAnsi="Times New Roman" w:cs="Times New Roman"/>
          <w:sz w:val="24"/>
          <w:szCs w:val="24"/>
          <w:lang w:val="en-GB"/>
        </w:rPr>
        <w:t xml:space="preserve"> sector as given. </w:t>
      </w:r>
    </w:p>
    <w:p w14:paraId="6C7B38FC" w14:textId="43646413" w:rsidR="00782A0E" w:rsidRDefault="008E73D8" w:rsidP="002D4F3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With</w:t>
      </w:r>
      <w:r w:rsidR="00F27132">
        <w:rPr>
          <w:rFonts w:ascii="Times New Roman" w:hAnsi="Times New Roman" w:cs="Times New Roman"/>
          <w:sz w:val="24"/>
          <w:szCs w:val="24"/>
          <w:lang w:val="en-GB"/>
        </w:rPr>
        <w:t xml:space="preserve"> membership in a </w:t>
      </w:r>
      <w:r w:rsidR="00F27132" w:rsidRPr="00FA390A">
        <w:rPr>
          <w:rFonts w:ascii="Times New Roman" w:hAnsi="Times New Roman" w:cs="Times New Roman"/>
          <w:i/>
          <w:iCs/>
          <w:sz w:val="24"/>
          <w:szCs w:val="24"/>
          <w:lang w:val="en-GB"/>
        </w:rPr>
        <w:t>monetary union</w:t>
      </w:r>
      <w:r w:rsidR="00EE1A8D">
        <w:rPr>
          <w:rFonts w:ascii="Times New Roman" w:hAnsi="Times New Roman" w:cs="Times New Roman"/>
          <w:i/>
          <w:iCs/>
          <w:sz w:val="24"/>
          <w:szCs w:val="24"/>
          <w:lang w:val="en-GB"/>
        </w:rPr>
        <w:t xml:space="preserve"> </w:t>
      </w:r>
      <w:r w:rsidR="00EE1A8D">
        <w:rPr>
          <w:rFonts w:ascii="Times New Roman" w:hAnsi="Times New Roman" w:cs="Times New Roman"/>
          <w:sz w:val="24"/>
          <w:szCs w:val="24"/>
          <w:lang w:val="en-GB"/>
        </w:rPr>
        <w:t>(</w:t>
      </w:r>
      <w:r w:rsidR="0053657A">
        <w:rPr>
          <w:rFonts w:ascii="Times New Roman" w:hAnsi="Times New Roman" w:cs="Times New Roman"/>
          <w:sz w:val="24"/>
          <w:szCs w:val="24"/>
          <w:lang w:val="en-GB"/>
        </w:rPr>
        <w:t xml:space="preserve">or </w:t>
      </w:r>
      <w:r w:rsidR="00EE1A8D">
        <w:rPr>
          <w:rFonts w:ascii="Times New Roman" w:hAnsi="Times New Roman" w:cs="Times New Roman"/>
          <w:sz w:val="24"/>
          <w:szCs w:val="24"/>
          <w:lang w:val="en-GB"/>
        </w:rPr>
        <w:t>a credible exchange rate peg)</w:t>
      </w:r>
      <w:r w:rsidR="00F27132">
        <w:rPr>
          <w:rFonts w:ascii="Times New Roman" w:hAnsi="Times New Roman" w:cs="Times New Roman"/>
          <w:sz w:val="24"/>
          <w:szCs w:val="24"/>
          <w:lang w:val="en-GB"/>
        </w:rPr>
        <w:t>, Calmfors and Seim</w:t>
      </w:r>
      <w:r w:rsidR="0008115B">
        <w:rPr>
          <w:rFonts w:ascii="Times New Roman" w:hAnsi="Times New Roman" w:cs="Times New Roman"/>
          <w:sz w:val="24"/>
          <w:szCs w:val="24"/>
          <w:lang w:val="en-GB"/>
        </w:rPr>
        <w:t xml:space="preserve"> find </w:t>
      </w:r>
      <w:r w:rsidR="003311B0">
        <w:rPr>
          <w:rFonts w:ascii="Times New Roman" w:hAnsi="Times New Roman" w:cs="Times New Roman"/>
          <w:sz w:val="24"/>
          <w:szCs w:val="24"/>
          <w:lang w:val="en-GB"/>
        </w:rPr>
        <w:t xml:space="preserve">leadership for the tradables sector </w:t>
      </w:r>
      <w:r w:rsidR="0053657A">
        <w:rPr>
          <w:rFonts w:ascii="Times New Roman" w:hAnsi="Times New Roman" w:cs="Times New Roman"/>
          <w:sz w:val="24"/>
          <w:szCs w:val="24"/>
          <w:lang w:val="en-GB"/>
        </w:rPr>
        <w:t xml:space="preserve">to </w:t>
      </w:r>
      <w:r w:rsidR="00907209">
        <w:rPr>
          <w:rFonts w:ascii="Times New Roman" w:hAnsi="Times New Roman" w:cs="Times New Roman"/>
          <w:sz w:val="24"/>
          <w:szCs w:val="24"/>
          <w:lang w:val="en-GB"/>
        </w:rPr>
        <w:t>impl</w:t>
      </w:r>
      <w:r w:rsidR="0053657A">
        <w:rPr>
          <w:rFonts w:ascii="Times New Roman" w:hAnsi="Times New Roman" w:cs="Times New Roman"/>
          <w:sz w:val="24"/>
          <w:szCs w:val="24"/>
          <w:lang w:val="en-GB"/>
        </w:rPr>
        <w:t>y</w:t>
      </w:r>
      <w:r w:rsidR="00907209">
        <w:rPr>
          <w:rFonts w:ascii="Times New Roman" w:hAnsi="Times New Roman" w:cs="Times New Roman"/>
          <w:sz w:val="24"/>
          <w:szCs w:val="24"/>
          <w:lang w:val="en-GB"/>
        </w:rPr>
        <w:t xml:space="preserve"> a hig</w:t>
      </w:r>
      <w:r w:rsidR="008D174A">
        <w:rPr>
          <w:rFonts w:ascii="Times New Roman" w:hAnsi="Times New Roman" w:cs="Times New Roman"/>
          <w:sz w:val="24"/>
          <w:szCs w:val="24"/>
          <w:lang w:val="en-GB"/>
        </w:rPr>
        <w:t>her</w:t>
      </w:r>
      <w:r w:rsidR="00907209">
        <w:rPr>
          <w:rFonts w:ascii="Times New Roman" w:hAnsi="Times New Roman" w:cs="Times New Roman"/>
          <w:sz w:val="24"/>
          <w:szCs w:val="24"/>
          <w:lang w:val="en-GB"/>
        </w:rPr>
        <w:t xml:space="preserve"> </w:t>
      </w:r>
      <w:r w:rsidR="00002B90">
        <w:rPr>
          <w:rFonts w:ascii="Times New Roman" w:hAnsi="Times New Roman" w:cs="Times New Roman"/>
          <w:sz w:val="24"/>
          <w:szCs w:val="24"/>
          <w:lang w:val="en-GB"/>
        </w:rPr>
        <w:t xml:space="preserve">real consumption wage </w:t>
      </w:r>
      <w:r w:rsidR="002B5FAF">
        <w:rPr>
          <w:rFonts w:ascii="Times New Roman" w:hAnsi="Times New Roman" w:cs="Times New Roman"/>
          <w:sz w:val="24"/>
          <w:szCs w:val="24"/>
          <w:lang w:val="en-GB"/>
        </w:rPr>
        <w:t>t</w:t>
      </w:r>
      <w:r w:rsidR="008D174A">
        <w:rPr>
          <w:rFonts w:ascii="Times New Roman" w:hAnsi="Times New Roman" w:cs="Times New Roman"/>
          <w:sz w:val="24"/>
          <w:szCs w:val="24"/>
          <w:lang w:val="en-GB"/>
        </w:rPr>
        <w:t>her</w:t>
      </w:r>
      <w:r w:rsidR="002B5FAF">
        <w:rPr>
          <w:rFonts w:ascii="Times New Roman" w:hAnsi="Times New Roman" w:cs="Times New Roman"/>
          <w:sz w:val="24"/>
          <w:szCs w:val="24"/>
          <w:lang w:val="en-GB"/>
        </w:rPr>
        <w:t>e</w:t>
      </w:r>
      <w:r w:rsidR="00F207BB">
        <w:rPr>
          <w:rFonts w:ascii="Times New Roman" w:hAnsi="Times New Roman" w:cs="Times New Roman"/>
          <w:sz w:val="24"/>
          <w:szCs w:val="24"/>
          <w:lang w:val="en-GB"/>
        </w:rPr>
        <w:t xml:space="preserve"> and lower </w:t>
      </w:r>
      <w:r w:rsidR="008B025F">
        <w:rPr>
          <w:rFonts w:ascii="Times New Roman" w:hAnsi="Times New Roman" w:cs="Times New Roman"/>
          <w:sz w:val="24"/>
          <w:szCs w:val="24"/>
          <w:lang w:val="en-GB"/>
        </w:rPr>
        <w:t xml:space="preserve">aggregate </w:t>
      </w:r>
      <w:r w:rsidR="00F207BB">
        <w:rPr>
          <w:rFonts w:ascii="Times New Roman" w:hAnsi="Times New Roman" w:cs="Times New Roman"/>
          <w:sz w:val="24"/>
          <w:szCs w:val="24"/>
          <w:lang w:val="en-GB"/>
        </w:rPr>
        <w:t xml:space="preserve">employment </w:t>
      </w:r>
      <w:r w:rsidR="009469EC">
        <w:rPr>
          <w:rFonts w:ascii="Times New Roman" w:hAnsi="Times New Roman" w:cs="Times New Roman"/>
          <w:sz w:val="24"/>
          <w:szCs w:val="24"/>
          <w:lang w:val="en-GB"/>
        </w:rPr>
        <w:t>than</w:t>
      </w:r>
      <w:r w:rsidR="0098748E">
        <w:rPr>
          <w:rFonts w:ascii="Times New Roman" w:hAnsi="Times New Roman" w:cs="Times New Roman"/>
          <w:sz w:val="24"/>
          <w:szCs w:val="24"/>
          <w:lang w:val="en-GB"/>
        </w:rPr>
        <w:t xml:space="preserve"> </w:t>
      </w:r>
      <w:r w:rsidR="00F70F8B">
        <w:rPr>
          <w:rFonts w:ascii="Times New Roman" w:hAnsi="Times New Roman" w:cs="Times New Roman"/>
          <w:sz w:val="24"/>
          <w:szCs w:val="24"/>
          <w:lang w:val="en-GB"/>
        </w:rPr>
        <w:t>uncoordinated bargaining.</w:t>
      </w:r>
      <w:r w:rsidR="00CA1FE0">
        <w:rPr>
          <w:rFonts w:ascii="Times New Roman" w:hAnsi="Times New Roman" w:cs="Times New Roman"/>
          <w:sz w:val="24"/>
          <w:szCs w:val="24"/>
          <w:lang w:val="en-GB"/>
        </w:rPr>
        <w:t xml:space="preserve"> The explanation has to do with the perceived </w:t>
      </w:r>
      <w:r w:rsidR="00FC2175">
        <w:rPr>
          <w:rFonts w:ascii="Times New Roman" w:hAnsi="Times New Roman" w:cs="Times New Roman"/>
          <w:sz w:val="24"/>
          <w:szCs w:val="24"/>
          <w:lang w:val="en-GB"/>
        </w:rPr>
        <w:t>t</w:t>
      </w:r>
      <w:r w:rsidR="004E6717">
        <w:rPr>
          <w:rFonts w:ascii="Times New Roman" w:hAnsi="Times New Roman" w:cs="Times New Roman"/>
          <w:sz w:val="24"/>
          <w:szCs w:val="24"/>
          <w:lang w:val="en-GB"/>
        </w:rPr>
        <w:t xml:space="preserve">rade-off </w:t>
      </w:r>
      <w:r w:rsidR="00BA2F41">
        <w:rPr>
          <w:rFonts w:ascii="Times New Roman" w:hAnsi="Times New Roman" w:cs="Times New Roman"/>
          <w:sz w:val="24"/>
          <w:szCs w:val="24"/>
          <w:lang w:val="en-GB"/>
        </w:rPr>
        <w:t xml:space="preserve">in the tradables sector </w:t>
      </w:r>
      <w:r w:rsidR="004E6717">
        <w:rPr>
          <w:rFonts w:ascii="Times New Roman" w:hAnsi="Times New Roman" w:cs="Times New Roman"/>
          <w:sz w:val="24"/>
          <w:szCs w:val="24"/>
          <w:lang w:val="en-GB"/>
        </w:rPr>
        <w:t>between</w:t>
      </w:r>
      <w:r w:rsidR="009F7053">
        <w:rPr>
          <w:rFonts w:ascii="Times New Roman" w:hAnsi="Times New Roman" w:cs="Times New Roman"/>
          <w:sz w:val="24"/>
          <w:szCs w:val="24"/>
          <w:lang w:val="en-GB"/>
        </w:rPr>
        <w:t xml:space="preserve"> </w:t>
      </w:r>
      <w:r w:rsidR="00A53BBD">
        <w:rPr>
          <w:rFonts w:ascii="Times New Roman" w:hAnsi="Times New Roman" w:cs="Times New Roman"/>
          <w:sz w:val="24"/>
          <w:szCs w:val="24"/>
          <w:lang w:val="en-GB"/>
        </w:rPr>
        <w:t>the gain</w:t>
      </w:r>
      <w:r w:rsidR="00D904B2">
        <w:rPr>
          <w:rFonts w:ascii="Times New Roman" w:hAnsi="Times New Roman" w:cs="Times New Roman"/>
          <w:sz w:val="24"/>
          <w:szCs w:val="24"/>
          <w:lang w:val="en-GB"/>
        </w:rPr>
        <w:t xml:space="preserve"> in </w:t>
      </w:r>
      <w:r w:rsidR="00A53BBD">
        <w:rPr>
          <w:rFonts w:ascii="Times New Roman" w:hAnsi="Times New Roman" w:cs="Times New Roman"/>
          <w:sz w:val="24"/>
          <w:szCs w:val="24"/>
          <w:lang w:val="en-GB"/>
        </w:rPr>
        <w:t xml:space="preserve">the </w:t>
      </w:r>
      <w:r w:rsidR="00D904B2">
        <w:rPr>
          <w:rFonts w:ascii="Times New Roman" w:hAnsi="Times New Roman" w:cs="Times New Roman"/>
          <w:sz w:val="24"/>
          <w:szCs w:val="24"/>
          <w:lang w:val="en-GB"/>
        </w:rPr>
        <w:t>real consumption wage</w:t>
      </w:r>
      <w:r w:rsidR="004D31A7">
        <w:rPr>
          <w:rFonts w:ascii="Times New Roman" w:hAnsi="Times New Roman" w:cs="Times New Roman"/>
          <w:sz w:val="24"/>
          <w:szCs w:val="24"/>
          <w:lang w:val="en-GB"/>
        </w:rPr>
        <w:t xml:space="preserve"> and </w:t>
      </w:r>
      <w:r w:rsidR="00843AEA">
        <w:rPr>
          <w:rFonts w:ascii="Times New Roman" w:hAnsi="Times New Roman" w:cs="Times New Roman"/>
          <w:sz w:val="24"/>
          <w:szCs w:val="24"/>
          <w:lang w:val="en-GB"/>
        </w:rPr>
        <w:t>the loss</w:t>
      </w:r>
      <w:r w:rsidR="00CB5AC3">
        <w:rPr>
          <w:rFonts w:ascii="Times New Roman" w:hAnsi="Times New Roman" w:cs="Times New Roman"/>
          <w:sz w:val="24"/>
          <w:szCs w:val="24"/>
          <w:lang w:val="en-GB"/>
        </w:rPr>
        <w:t>es</w:t>
      </w:r>
      <w:r w:rsidR="00843AEA">
        <w:rPr>
          <w:rFonts w:ascii="Times New Roman" w:hAnsi="Times New Roman" w:cs="Times New Roman"/>
          <w:sz w:val="24"/>
          <w:szCs w:val="24"/>
          <w:lang w:val="en-GB"/>
        </w:rPr>
        <w:t xml:space="preserve"> in terms of employment and real prof</w:t>
      </w:r>
      <w:r w:rsidR="00CB5AC3">
        <w:rPr>
          <w:rFonts w:ascii="Times New Roman" w:hAnsi="Times New Roman" w:cs="Times New Roman"/>
          <w:sz w:val="24"/>
          <w:szCs w:val="24"/>
          <w:lang w:val="en-GB"/>
        </w:rPr>
        <w:t>its</w:t>
      </w:r>
      <w:r w:rsidR="00843AEA">
        <w:rPr>
          <w:rFonts w:ascii="Times New Roman" w:hAnsi="Times New Roman" w:cs="Times New Roman"/>
          <w:sz w:val="24"/>
          <w:szCs w:val="24"/>
          <w:lang w:val="en-GB"/>
        </w:rPr>
        <w:t xml:space="preserve"> from a nominal wage </w:t>
      </w:r>
      <w:r w:rsidR="00B8105F">
        <w:rPr>
          <w:rFonts w:ascii="Times New Roman" w:hAnsi="Times New Roman" w:cs="Times New Roman"/>
          <w:sz w:val="24"/>
          <w:szCs w:val="24"/>
          <w:lang w:val="en-GB"/>
        </w:rPr>
        <w:t>increase</w:t>
      </w:r>
      <w:r w:rsidR="00FD5748">
        <w:rPr>
          <w:rFonts w:ascii="Times New Roman" w:hAnsi="Times New Roman" w:cs="Times New Roman"/>
          <w:sz w:val="24"/>
          <w:szCs w:val="24"/>
          <w:lang w:val="en-GB"/>
        </w:rPr>
        <w:t>.</w:t>
      </w:r>
      <w:r w:rsidR="00A53BBD">
        <w:rPr>
          <w:rFonts w:ascii="Times New Roman" w:hAnsi="Times New Roman" w:cs="Times New Roman"/>
          <w:sz w:val="24"/>
          <w:szCs w:val="24"/>
          <w:lang w:val="en-GB"/>
        </w:rPr>
        <w:t xml:space="preserve"> </w:t>
      </w:r>
      <w:r w:rsidR="00B416B4">
        <w:rPr>
          <w:rFonts w:ascii="Times New Roman" w:hAnsi="Times New Roman" w:cs="Times New Roman"/>
          <w:sz w:val="24"/>
          <w:szCs w:val="24"/>
          <w:lang w:val="en-GB"/>
        </w:rPr>
        <w:t>The</w:t>
      </w:r>
      <w:r w:rsidR="00F14130">
        <w:rPr>
          <w:rFonts w:ascii="Times New Roman" w:hAnsi="Times New Roman" w:cs="Times New Roman"/>
          <w:sz w:val="24"/>
          <w:szCs w:val="24"/>
          <w:lang w:val="en-GB"/>
        </w:rPr>
        <w:t xml:space="preserve"> accompanying fall in output of tradables</w:t>
      </w:r>
      <w:r w:rsidR="00A63547">
        <w:rPr>
          <w:rFonts w:ascii="Times New Roman" w:hAnsi="Times New Roman" w:cs="Times New Roman"/>
          <w:sz w:val="24"/>
          <w:szCs w:val="24"/>
          <w:lang w:val="en-GB"/>
        </w:rPr>
        <w:t xml:space="preserve">, and hence in incomes, reduces demand for </w:t>
      </w:r>
      <w:r w:rsidR="008B3895">
        <w:rPr>
          <w:rFonts w:ascii="Times New Roman" w:hAnsi="Times New Roman" w:cs="Times New Roman"/>
          <w:sz w:val="24"/>
          <w:szCs w:val="24"/>
          <w:lang w:val="en-GB"/>
        </w:rPr>
        <w:t>nontradables</w:t>
      </w:r>
      <w:r w:rsidR="009205E3">
        <w:rPr>
          <w:rFonts w:ascii="Times New Roman" w:hAnsi="Times New Roman" w:cs="Times New Roman"/>
          <w:sz w:val="24"/>
          <w:szCs w:val="24"/>
          <w:lang w:val="en-GB"/>
        </w:rPr>
        <w:t xml:space="preserve"> and t</w:t>
      </w:r>
      <w:r w:rsidR="008D174A">
        <w:rPr>
          <w:rFonts w:ascii="Times New Roman" w:hAnsi="Times New Roman" w:cs="Times New Roman"/>
          <w:sz w:val="24"/>
          <w:szCs w:val="24"/>
          <w:lang w:val="en-GB"/>
        </w:rPr>
        <w:t>her</w:t>
      </w:r>
      <w:r w:rsidR="009205E3">
        <w:rPr>
          <w:rFonts w:ascii="Times New Roman" w:hAnsi="Times New Roman" w:cs="Times New Roman"/>
          <w:sz w:val="24"/>
          <w:szCs w:val="24"/>
          <w:lang w:val="en-GB"/>
        </w:rPr>
        <w:t>efore their price</w:t>
      </w:r>
      <w:r w:rsidR="00EA3153">
        <w:rPr>
          <w:rFonts w:ascii="Times New Roman" w:hAnsi="Times New Roman" w:cs="Times New Roman"/>
          <w:sz w:val="24"/>
          <w:szCs w:val="24"/>
          <w:lang w:val="en-GB"/>
        </w:rPr>
        <w:t xml:space="preserve"> as well as the</w:t>
      </w:r>
      <w:r w:rsidR="009E03C5">
        <w:rPr>
          <w:rFonts w:ascii="Times New Roman" w:hAnsi="Times New Roman" w:cs="Times New Roman"/>
          <w:sz w:val="24"/>
          <w:szCs w:val="24"/>
          <w:lang w:val="en-GB"/>
        </w:rPr>
        <w:t xml:space="preserve"> CPI</w:t>
      </w:r>
      <w:r w:rsidR="009205E3">
        <w:rPr>
          <w:rFonts w:ascii="Times New Roman" w:hAnsi="Times New Roman" w:cs="Times New Roman"/>
          <w:sz w:val="24"/>
          <w:szCs w:val="24"/>
          <w:lang w:val="en-GB"/>
        </w:rPr>
        <w:t xml:space="preserve">. This reinforces the </w:t>
      </w:r>
      <w:r w:rsidR="005E2FFA">
        <w:rPr>
          <w:rFonts w:ascii="Times New Roman" w:hAnsi="Times New Roman" w:cs="Times New Roman"/>
          <w:sz w:val="24"/>
          <w:szCs w:val="24"/>
          <w:lang w:val="en-GB"/>
        </w:rPr>
        <w:t>gain in the real consumption wage in the tradables sector</w:t>
      </w:r>
      <w:r w:rsidR="0045004F">
        <w:rPr>
          <w:rFonts w:ascii="Times New Roman" w:hAnsi="Times New Roman" w:cs="Times New Roman"/>
          <w:sz w:val="24"/>
          <w:szCs w:val="24"/>
          <w:lang w:val="en-GB"/>
        </w:rPr>
        <w:t xml:space="preserve">. </w:t>
      </w:r>
      <w:r w:rsidR="005158FD">
        <w:rPr>
          <w:rFonts w:ascii="Times New Roman" w:hAnsi="Times New Roman" w:cs="Times New Roman"/>
          <w:sz w:val="24"/>
          <w:szCs w:val="24"/>
          <w:lang w:val="en-GB"/>
        </w:rPr>
        <w:t>Th</w:t>
      </w:r>
      <w:r w:rsidR="00CE1742">
        <w:rPr>
          <w:rFonts w:ascii="Times New Roman" w:hAnsi="Times New Roman" w:cs="Times New Roman"/>
          <w:sz w:val="24"/>
          <w:szCs w:val="24"/>
          <w:lang w:val="en-GB"/>
        </w:rPr>
        <w:t>e</w:t>
      </w:r>
      <w:r w:rsidR="005158FD">
        <w:rPr>
          <w:rFonts w:ascii="Times New Roman" w:hAnsi="Times New Roman" w:cs="Times New Roman"/>
          <w:sz w:val="24"/>
          <w:szCs w:val="24"/>
          <w:lang w:val="en-GB"/>
        </w:rPr>
        <w:t xml:space="preserve"> effect is boosted</w:t>
      </w:r>
      <w:r w:rsidR="00B96A63">
        <w:rPr>
          <w:rFonts w:ascii="Times New Roman" w:hAnsi="Times New Roman" w:cs="Times New Roman"/>
          <w:sz w:val="24"/>
          <w:szCs w:val="24"/>
          <w:lang w:val="en-GB"/>
        </w:rPr>
        <w:t xml:space="preserve"> </w:t>
      </w:r>
      <w:r w:rsidR="00D2751D">
        <w:rPr>
          <w:rFonts w:ascii="Times New Roman" w:hAnsi="Times New Roman" w:cs="Times New Roman"/>
          <w:sz w:val="24"/>
          <w:szCs w:val="24"/>
          <w:lang w:val="en-GB"/>
        </w:rPr>
        <w:t xml:space="preserve">with wage leadership for the </w:t>
      </w:r>
      <w:r w:rsidR="00D2751D">
        <w:rPr>
          <w:rFonts w:ascii="Times New Roman" w:hAnsi="Times New Roman" w:cs="Times New Roman"/>
          <w:sz w:val="24"/>
          <w:szCs w:val="24"/>
          <w:lang w:val="en-GB"/>
        </w:rPr>
        <w:lastRenderedPageBreak/>
        <w:t xml:space="preserve">tradables sector </w:t>
      </w:r>
      <w:r w:rsidR="00B40372">
        <w:rPr>
          <w:rFonts w:ascii="Times New Roman" w:hAnsi="Times New Roman" w:cs="Times New Roman"/>
          <w:sz w:val="24"/>
          <w:szCs w:val="24"/>
          <w:lang w:val="en-GB"/>
        </w:rPr>
        <w:t xml:space="preserve">because </w:t>
      </w:r>
      <w:r w:rsidR="00251134">
        <w:rPr>
          <w:rFonts w:ascii="Times New Roman" w:hAnsi="Times New Roman" w:cs="Times New Roman"/>
          <w:sz w:val="24"/>
          <w:szCs w:val="24"/>
          <w:lang w:val="en-GB"/>
        </w:rPr>
        <w:t>it</w:t>
      </w:r>
      <w:r w:rsidR="007F32A2">
        <w:rPr>
          <w:rFonts w:ascii="Times New Roman" w:hAnsi="Times New Roman" w:cs="Times New Roman"/>
          <w:sz w:val="24"/>
          <w:szCs w:val="24"/>
          <w:lang w:val="en-GB"/>
        </w:rPr>
        <w:t xml:space="preserve"> realise</w:t>
      </w:r>
      <w:r w:rsidR="00251134">
        <w:rPr>
          <w:rFonts w:ascii="Times New Roman" w:hAnsi="Times New Roman" w:cs="Times New Roman"/>
          <w:sz w:val="24"/>
          <w:szCs w:val="24"/>
          <w:lang w:val="en-GB"/>
        </w:rPr>
        <w:t>s</w:t>
      </w:r>
      <w:r w:rsidR="007F32A2">
        <w:rPr>
          <w:rFonts w:ascii="Times New Roman" w:hAnsi="Times New Roman" w:cs="Times New Roman"/>
          <w:sz w:val="24"/>
          <w:szCs w:val="24"/>
          <w:lang w:val="en-GB"/>
        </w:rPr>
        <w:t xml:space="preserve"> that </w:t>
      </w:r>
      <w:r w:rsidR="00BE5A8F">
        <w:rPr>
          <w:rFonts w:ascii="Times New Roman" w:hAnsi="Times New Roman" w:cs="Times New Roman"/>
          <w:sz w:val="24"/>
          <w:szCs w:val="24"/>
          <w:lang w:val="en-GB"/>
        </w:rPr>
        <w:t xml:space="preserve">the </w:t>
      </w:r>
      <w:r w:rsidR="00EA1E9C">
        <w:rPr>
          <w:rFonts w:ascii="Times New Roman" w:hAnsi="Times New Roman" w:cs="Times New Roman"/>
          <w:sz w:val="24"/>
          <w:szCs w:val="24"/>
          <w:lang w:val="en-GB"/>
        </w:rPr>
        <w:t>fall i</w:t>
      </w:r>
      <w:r w:rsidR="00844B38">
        <w:rPr>
          <w:rFonts w:ascii="Times New Roman" w:hAnsi="Times New Roman" w:cs="Times New Roman"/>
          <w:sz w:val="24"/>
          <w:szCs w:val="24"/>
          <w:lang w:val="en-GB"/>
        </w:rPr>
        <w:t xml:space="preserve">n </w:t>
      </w:r>
      <w:r w:rsidR="001A767B">
        <w:rPr>
          <w:rFonts w:ascii="Times New Roman" w:hAnsi="Times New Roman" w:cs="Times New Roman"/>
          <w:sz w:val="24"/>
          <w:szCs w:val="24"/>
          <w:lang w:val="en-GB"/>
        </w:rPr>
        <w:t>demand for</w:t>
      </w:r>
      <w:r w:rsidR="00844B38">
        <w:rPr>
          <w:rFonts w:ascii="Times New Roman" w:hAnsi="Times New Roman" w:cs="Times New Roman"/>
          <w:sz w:val="24"/>
          <w:szCs w:val="24"/>
          <w:lang w:val="en-GB"/>
        </w:rPr>
        <w:t xml:space="preserve"> </w:t>
      </w:r>
      <w:r w:rsidR="008B3895">
        <w:rPr>
          <w:rFonts w:ascii="Times New Roman" w:hAnsi="Times New Roman" w:cs="Times New Roman"/>
          <w:sz w:val="24"/>
          <w:szCs w:val="24"/>
          <w:lang w:val="en-GB"/>
        </w:rPr>
        <w:t>nontradables</w:t>
      </w:r>
      <w:r w:rsidR="00844B38">
        <w:rPr>
          <w:rFonts w:ascii="Times New Roman" w:hAnsi="Times New Roman" w:cs="Times New Roman"/>
          <w:sz w:val="24"/>
          <w:szCs w:val="24"/>
          <w:lang w:val="en-GB"/>
        </w:rPr>
        <w:t xml:space="preserve"> induce</w:t>
      </w:r>
      <w:r w:rsidR="00CE1742">
        <w:rPr>
          <w:rFonts w:ascii="Times New Roman" w:hAnsi="Times New Roman" w:cs="Times New Roman"/>
          <w:sz w:val="24"/>
          <w:szCs w:val="24"/>
          <w:lang w:val="en-GB"/>
        </w:rPr>
        <w:t>s</w:t>
      </w:r>
      <w:r w:rsidR="007B4E16">
        <w:rPr>
          <w:rFonts w:ascii="Times New Roman" w:hAnsi="Times New Roman" w:cs="Times New Roman"/>
          <w:sz w:val="24"/>
          <w:szCs w:val="24"/>
          <w:lang w:val="en-GB"/>
        </w:rPr>
        <w:t xml:space="preserve"> </w:t>
      </w:r>
      <w:r w:rsidR="001A767B">
        <w:rPr>
          <w:rFonts w:ascii="Times New Roman" w:hAnsi="Times New Roman" w:cs="Times New Roman"/>
          <w:sz w:val="24"/>
          <w:szCs w:val="24"/>
          <w:lang w:val="en-GB"/>
        </w:rPr>
        <w:t>a decrease</w:t>
      </w:r>
      <w:r w:rsidR="007B4E16">
        <w:rPr>
          <w:rFonts w:ascii="Times New Roman" w:hAnsi="Times New Roman" w:cs="Times New Roman"/>
          <w:sz w:val="24"/>
          <w:szCs w:val="24"/>
          <w:lang w:val="en-GB"/>
        </w:rPr>
        <w:t xml:space="preserve"> in the </w:t>
      </w:r>
      <w:r w:rsidR="001863B2">
        <w:rPr>
          <w:rFonts w:ascii="Times New Roman" w:hAnsi="Times New Roman" w:cs="Times New Roman"/>
          <w:sz w:val="24"/>
          <w:szCs w:val="24"/>
          <w:lang w:val="en-GB"/>
        </w:rPr>
        <w:t xml:space="preserve">nontradables sector </w:t>
      </w:r>
      <w:r w:rsidR="007B4E16">
        <w:rPr>
          <w:rFonts w:ascii="Times New Roman" w:hAnsi="Times New Roman" w:cs="Times New Roman"/>
          <w:sz w:val="24"/>
          <w:szCs w:val="24"/>
          <w:lang w:val="en-GB"/>
        </w:rPr>
        <w:t>wage</w:t>
      </w:r>
      <w:r w:rsidR="00C22AB4">
        <w:rPr>
          <w:rFonts w:ascii="Times New Roman" w:hAnsi="Times New Roman" w:cs="Times New Roman"/>
          <w:sz w:val="24"/>
          <w:szCs w:val="24"/>
          <w:lang w:val="en-GB"/>
        </w:rPr>
        <w:t>, which</w:t>
      </w:r>
      <w:r w:rsidR="00DB435F">
        <w:rPr>
          <w:rFonts w:ascii="Times New Roman" w:hAnsi="Times New Roman" w:cs="Times New Roman"/>
          <w:sz w:val="24"/>
          <w:szCs w:val="24"/>
          <w:lang w:val="en-GB"/>
        </w:rPr>
        <w:t xml:space="preserve"> </w:t>
      </w:r>
      <w:r w:rsidR="00510D45">
        <w:rPr>
          <w:rFonts w:ascii="Times New Roman" w:hAnsi="Times New Roman" w:cs="Times New Roman"/>
          <w:sz w:val="24"/>
          <w:szCs w:val="24"/>
          <w:lang w:val="en-GB"/>
        </w:rPr>
        <w:t>will</w:t>
      </w:r>
      <w:r w:rsidR="00DB435F">
        <w:rPr>
          <w:rFonts w:ascii="Times New Roman" w:hAnsi="Times New Roman" w:cs="Times New Roman"/>
          <w:sz w:val="24"/>
          <w:szCs w:val="24"/>
          <w:lang w:val="en-GB"/>
        </w:rPr>
        <w:t xml:space="preserve"> </w:t>
      </w:r>
      <w:r w:rsidR="00B817AE">
        <w:rPr>
          <w:rFonts w:ascii="Times New Roman" w:hAnsi="Times New Roman" w:cs="Times New Roman"/>
          <w:sz w:val="24"/>
          <w:szCs w:val="24"/>
          <w:lang w:val="en-GB"/>
        </w:rPr>
        <w:t>cause a furt</w:t>
      </w:r>
      <w:r w:rsidR="008D174A">
        <w:rPr>
          <w:rFonts w:ascii="Times New Roman" w:hAnsi="Times New Roman" w:cs="Times New Roman"/>
          <w:sz w:val="24"/>
          <w:szCs w:val="24"/>
          <w:lang w:val="en-GB"/>
        </w:rPr>
        <w:t>her</w:t>
      </w:r>
      <w:r w:rsidR="00B817AE">
        <w:rPr>
          <w:rFonts w:ascii="Times New Roman" w:hAnsi="Times New Roman" w:cs="Times New Roman"/>
          <w:sz w:val="24"/>
          <w:szCs w:val="24"/>
          <w:lang w:val="en-GB"/>
        </w:rPr>
        <w:t xml:space="preserve"> fall in </w:t>
      </w:r>
      <w:r w:rsidR="009B6899">
        <w:rPr>
          <w:rFonts w:ascii="Times New Roman" w:hAnsi="Times New Roman" w:cs="Times New Roman"/>
          <w:sz w:val="24"/>
          <w:szCs w:val="24"/>
          <w:lang w:val="en-GB"/>
        </w:rPr>
        <w:t>the</w:t>
      </w:r>
      <w:r w:rsidR="00B817AE">
        <w:rPr>
          <w:rFonts w:ascii="Times New Roman" w:hAnsi="Times New Roman" w:cs="Times New Roman"/>
          <w:sz w:val="24"/>
          <w:szCs w:val="24"/>
          <w:lang w:val="en-GB"/>
        </w:rPr>
        <w:t xml:space="preserve"> price</w:t>
      </w:r>
      <w:r w:rsidR="009B6899">
        <w:rPr>
          <w:rFonts w:ascii="Times New Roman" w:hAnsi="Times New Roman" w:cs="Times New Roman"/>
          <w:sz w:val="24"/>
          <w:szCs w:val="24"/>
          <w:lang w:val="en-GB"/>
        </w:rPr>
        <w:t xml:space="preserve"> of nontradables</w:t>
      </w:r>
      <w:r w:rsidR="00777A98">
        <w:rPr>
          <w:rFonts w:ascii="Times New Roman" w:hAnsi="Times New Roman" w:cs="Times New Roman"/>
          <w:sz w:val="24"/>
          <w:szCs w:val="24"/>
          <w:lang w:val="en-GB"/>
        </w:rPr>
        <w:t xml:space="preserve"> and thus in the CPI.</w:t>
      </w:r>
      <w:r w:rsidR="00B817AE">
        <w:rPr>
          <w:rFonts w:ascii="Times New Roman" w:hAnsi="Times New Roman" w:cs="Times New Roman"/>
          <w:sz w:val="24"/>
          <w:szCs w:val="24"/>
          <w:lang w:val="en-GB"/>
        </w:rPr>
        <w:t xml:space="preserve"> </w:t>
      </w:r>
      <w:r w:rsidR="00C35B3C">
        <w:rPr>
          <w:rFonts w:ascii="Times New Roman" w:hAnsi="Times New Roman" w:cs="Times New Roman"/>
          <w:sz w:val="24"/>
          <w:szCs w:val="24"/>
          <w:lang w:val="en-GB"/>
        </w:rPr>
        <w:t xml:space="preserve">This gives </w:t>
      </w:r>
      <w:r w:rsidR="00767850">
        <w:rPr>
          <w:rFonts w:ascii="Times New Roman" w:hAnsi="Times New Roman" w:cs="Times New Roman"/>
          <w:sz w:val="24"/>
          <w:szCs w:val="24"/>
          <w:lang w:val="en-GB"/>
        </w:rPr>
        <w:t>a strong</w:t>
      </w:r>
      <w:r w:rsidR="00A100B3">
        <w:rPr>
          <w:rFonts w:ascii="Times New Roman" w:hAnsi="Times New Roman" w:cs="Times New Roman"/>
          <w:sz w:val="24"/>
          <w:szCs w:val="24"/>
          <w:lang w:val="en-GB"/>
        </w:rPr>
        <w:t>er</w:t>
      </w:r>
      <w:r w:rsidR="00EC1C77">
        <w:rPr>
          <w:rFonts w:ascii="Times New Roman" w:hAnsi="Times New Roman" w:cs="Times New Roman"/>
          <w:sz w:val="24"/>
          <w:szCs w:val="24"/>
          <w:lang w:val="en-GB"/>
        </w:rPr>
        <w:t xml:space="preserve"> incentive to choose a hig</w:t>
      </w:r>
      <w:r w:rsidR="008D174A">
        <w:rPr>
          <w:rFonts w:ascii="Times New Roman" w:hAnsi="Times New Roman" w:cs="Times New Roman"/>
          <w:sz w:val="24"/>
          <w:szCs w:val="24"/>
          <w:lang w:val="en-GB"/>
        </w:rPr>
        <w:t>h</w:t>
      </w:r>
      <w:r w:rsidR="00EC1C77">
        <w:rPr>
          <w:rFonts w:ascii="Times New Roman" w:hAnsi="Times New Roman" w:cs="Times New Roman"/>
          <w:sz w:val="24"/>
          <w:szCs w:val="24"/>
          <w:lang w:val="en-GB"/>
        </w:rPr>
        <w:t xml:space="preserve"> wage </w:t>
      </w:r>
      <w:r w:rsidR="00767850">
        <w:rPr>
          <w:rFonts w:ascii="Times New Roman" w:hAnsi="Times New Roman" w:cs="Times New Roman"/>
          <w:sz w:val="24"/>
          <w:szCs w:val="24"/>
          <w:lang w:val="en-GB"/>
        </w:rPr>
        <w:t xml:space="preserve">in the tradables </w:t>
      </w:r>
      <w:r w:rsidR="00A100B3">
        <w:rPr>
          <w:rFonts w:ascii="Times New Roman" w:hAnsi="Times New Roman" w:cs="Times New Roman"/>
          <w:sz w:val="24"/>
          <w:szCs w:val="24"/>
          <w:lang w:val="en-GB"/>
        </w:rPr>
        <w:t>sector</w:t>
      </w:r>
      <w:r w:rsidR="00A161F5">
        <w:rPr>
          <w:rFonts w:ascii="Times New Roman" w:hAnsi="Times New Roman" w:cs="Times New Roman"/>
          <w:sz w:val="24"/>
          <w:szCs w:val="24"/>
          <w:lang w:val="en-GB"/>
        </w:rPr>
        <w:t xml:space="preserve"> under pattern setting</w:t>
      </w:r>
      <w:r w:rsidR="00A100B3">
        <w:rPr>
          <w:rFonts w:ascii="Times New Roman" w:hAnsi="Times New Roman" w:cs="Times New Roman"/>
          <w:sz w:val="24"/>
          <w:szCs w:val="24"/>
          <w:lang w:val="en-GB"/>
        </w:rPr>
        <w:t xml:space="preserve"> than under uncoordinated bargaining. </w:t>
      </w:r>
      <w:r w:rsidR="00F962CF">
        <w:rPr>
          <w:rFonts w:ascii="Times New Roman" w:hAnsi="Times New Roman" w:cs="Times New Roman"/>
          <w:sz w:val="24"/>
          <w:szCs w:val="24"/>
          <w:lang w:val="en-GB"/>
        </w:rPr>
        <w:t xml:space="preserve"> </w:t>
      </w:r>
      <w:r w:rsidR="00D97814">
        <w:rPr>
          <w:rFonts w:ascii="Times New Roman" w:hAnsi="Times New Roman" w:cs="Times New Roman"/>
          <w:sz w:val="24"/>
          <w:szCs w:val="24"/>
          <w:lang w:val="en-GB"/>
        </w:rPr>
        <w:t xml:space="preserve">In contrast, leadership for the </w:t>
      </w:r>
      <w:r w:rsidR="008B3895">
        <w:rPr>
          <w:rFonts w:ascii="Times New Roman" w:hAnsi="Times New Roman" w:cs="Times New Roman"/>
          <w:sz w:val="24"/>
          <w:szCs w:val="24"/>
          <w:lang w:val="en-GB"/>
        </w:rPr>
        <w:t>nontradables</w:t>
      </w:r>
      <w:r w:rsidR="00D97814">
        <w:rPr>
          <w:rFonts w:ascii="Times New Roman" w:hAnsi="Times New Roman" w:cs="Times New Roman"/>
          <w:sz w:val="24"/>
          <w:szCs w:val="24"/>
          <w:lang w:val="en-GB"/>
        </w:rPr>
        <w:t xml:space="preserve"> sector </w:t>
      </w:r>
      <w:r w:rsidR="00E1369D">
        <w:rPr>
          <w:rFonts w:ascii="Times New Roman" w:hAnsi="Times New Roman" w:cs="Times New Roman"/>
          <w:sz w:val="24"/>
          <w:szCs w:val="24"/>
          <w:lang w:val="en-GB"/>
        </w:rPr>
        <w:t>promotes wage restraint</w:t>
      </w:r>
      <w:r w:rsidR="009567A7">
        <w:rPr>
          <w:rFonts w:ascii="Times New Roman" w:hAnsi="Times New Roman" w:cs="Times New Roman"/>
          <w:sz w:val="24"/>
          <w:szCs w:val="24"/>
          <w:lang w:val="en-GB"/>
        </w:rPr>
        <w:t xml:space="preserve">. </w:t>
      </w:r>
      <w:r w:rsidR="00A161F5">
        <w:rPr>
          <w:rFonts w:ascii="Times New Roman" w:hAnsi="Times New Roman" w:cs="Times New Roman"/>
          <w:sz w:val="24"/>
          <w:szCs w:val="24"/>
          <w:lang w:val="en-GB"/>
        </w:rPr>
        <w:t>Then</w:t>
      </w:r>
      <w:r w:rsidR="00C70DB4">
        <w:rPr>
          <w:rFonts w:ascii="Times New Roman" w:hAnsi="Times New Roman" w:cs="Times New Roman"/>
          <w:sz w:val="24"/>
          <w:szCs w:val="24"/>
          <w:lang w:val="en-GB"/>
        </w:rPr>
        <w:t>,</w:t>
      </w:r>
      <w:r w:rsidR="00BE0764">
        <w:rPr>
          <w:rFonts w:ascii="Times New Roman" w:hAnsi="Times New Roman" w:cs="Times New Roman"/>
          <w:sz w:val="24"/>
          <w:szCs w:val="24"/>
          <w:lang w:val="en-GB"/>
        </w:rPr>
        <w:t xml:space="preserve"> the real consumption wage in the </w:t>
      </w:r>
      <w:r w:rsidR="008B3895">
        <w:rPr>
          <w:rFonts w:ascii="Times New Roman" w:hAnsi="Times New Roman" w:cs="Times New Roman"/>
          <w:sz w:val="24"/>
          <w:szCs w:val="24"/>
          <w:lang w:val="en-GB"/>
        </w:rPr>
        <w:t>nontradables</w:t>
      </w:r>
      <w:r w:rsidR="00BE0764">
        <w:rPr>
          <w:rFonts w:ascii="Times New Roman" w:hAnsi="Times New Roman" w:cs="Times New Roman"/>
          <w:sz w:val="24"/>
          <w:szCs w:val="24"/>
          <w:lang w:val="en-GB"/>
        </w:rPr>
        <w:t xml:space="preserve"> sector </w:t>
      </w:r>
      <w:r w:rsidR="0068174F">
        <w:rPr>
          <w:rFonts w:ascii="Times New Roman" w:hAnsi="Times New Roman" w:cs="Times New Roman"/>
          <w:sz w:val="24"/>
          <w:szCs w:val="24"/>
          <w:lang w:val="en-GB"/>
        </w:rPr>
        <w:t xml:space="preserve">is lower, and </w:t>
      </w:r>
      <w:r w:rsidR="00175C42">
        <w:rPr>
          <w:rFonts w:ascii="Times New Roman" w:hAnsi="Times New Roman" w:cs="Times New Roman"/>
          <w:sz w:val="24"/>
          <w:szCs w:val="24"/>
          <w:lang w:val="en-GB"/>
        </w:rPr>
        <w:t xml:space="preserve">aggregate </w:t>
      </w:r>
      <w:r w:rsidR="0068174F">
        <w:rPr>
          <w:rFonts w:ascii="Times New Roman" w:hAnsi="Times New Roman" w:cs="Times New Roman"/>
          <w:sz w:val="24"/>
          <w:szCs w:val="24"/>
          <w:lang w:val="en-GB"/>
        </w:rPr>
        <w:t>employment hig</w:t>
      </w:r>
      <w:r w:rsidR="008D174A">
        <w:rPr>
          <w:rFonts w:ascii="Times New Roman" w:hAnsi="Times New Roman" w:cs="Times New Roman"/>
          <w:sz w:val="24"/>
          <w:szCs w:val="24"/>
          <w:lang w:val="en-GB"/>
        </w:rPr>
        <w:t>her</w:t>
      </w:r>
      <w:r w:rsidR="0068174F">
        <w:rPr>
          <w:rFonts w:ascii="Times New Roman" w:hAnsi="Times New Roman" w:cs="Times New Roman"/>
          <w:sz w:val="24"/>
          <w:szCs w:val="24"/>
          <w:lang w:val="en-GB"/>
        </w:rPr>
        <w:t xml:space="preserve">, than </w:t>
      </w:r>
      <w:r w:rsidR="000C2A95">
        <w:rPr>
          <w:rFonts w:ascii="Times New Roman" w:hAnsi="Times New Roman" w:cs="Times New Roman"/>
          <w:sz w:val="24"/>
          <w:szCs w:val="24"/>
          <w:lang w:val="en-GB"/>
        </w:rPr>
        <w:t>with</w:t>
      </w:r>
      <w:r w:rsidR="0068174F">
        <w:rPr>
          <w:rFonts w:ascii="Times New Roman" w:hAnsi="Times New Roman" w:cs="Times New Roman"/>
          <w:sz w:val="24"/>
          <w:szCs w:val="24"/>
          <w:lang w:val="en-GB"/>
        </w:rPr>
        <w:t xml:space="preserve"> uncoordinated bargaining</w:t>
      </w:r>
      <w:r w:rsidR="00B25EB7">
        <w:rPr>
          <w:rFonts w:ascii="Times New Roman" w:hAnsi="Times New Roman" w:cs="Times New Roman"/>
          <w:sz w:val="24"/>
          <w:szCs w:val="24"/>
          <w:lang w:val="en-GB"/>
        </w:rPr>
        <w:t xml:space="preserve"> and </w:t>
      </w:r>
      <w:r w:rsidR="00C70DB4">
        <w:rPr>
          <w:rFonts w:ascii="Times New Roman" w:hAnsi="Times New Roman" w:cs="Times New Roman"/>
          <w:sz w:val="24"/>
          <w:szCs w:val="24"/>
          <w:lang w:val="en-GB"/>
        </w:rPr>
        <w:t>thus</w:t>
      </w:r>
      <w:r w:rsidR="00B25EB7">
        <w:rPr>
          <w:rFonts w:ascii="Times New Roman" w:hAnsi="Times New Roman" w:cs="Times New Roman"/>
          <w:sz w:val="24"/>
          <w:szCs w:val="24"/>
          <w:lang w:val="en-GB"/>
        </w:rPr>
        <w:t xml:space="preserve"> also </w:t>
      </w:r>
      <w:r w:rsidR="006B7D48">
        <w:rPr>
          <w:rFonts w:ascii="Times New Roman" w:hAnsi="Times New Roman" w:cs="Times New Roman"/>
          <w:sz w:val="24"/>
          <w:szCs w:val="24"/>
          <w:lang w:val="en-GB"/>
        </w:rPr>
        <w:t xml:space="preserve">than </w:t>
      </w:r>
      <w:r w:rsidR="000C2A95">
        <w:rPr>
          <w:rFonts w:ascii="Times New Roman" w:hAnsi="Times New Roman" w:cs="Times New Roman"/>
          <w:sz w:val="24"/>
          <w:szCs w:val="24"/>
          <w:lang w:val="en-GB"/>
        </w:rPr>
        <w:t>with</w:t>
      </w:r>
      <w:r w:rsidR="006B7D48">
        <w:rPr>
          <w:rFonts w:ascii="Times New Roman" w:hAnsi="Times New Roman" w:cs="Times New Roman"/>
          <w:sz w:val="24"/>
          <w:szCs w:val="24"/>
          <w:lang w:val="en-GB"/>
        </w:rPr>
        <w:t xml:space="preserve"> tradables sector</w:t>
      </w:r>
      <w:r w:rsidR="00E55342">
        <w:rPr>
          <w:rFonts w:ascii="Times New Roman" w:hAnsi="Times New Roman" w:cs="Times New Roman"/>
          <w:sz w:val="24"/>
          <w:szCs w:val="24"/>
          <w:lang w:val="en-GB"/>
        </w:rPr>
        <w:t xml:space="preserve"> leadership</w:t>
      </w:r>
      <w:r w:rsidR="006B7D48">
        <w:rPr>
          <w:rFonts w:ascii="Times New Roman" w:hAnsi="Times New Roman" w:cs="Times New Roman"/>
          <w:sz w:val="24"/>
          <w:szCs w:val="24"/>
          <w:lang w:val="en-GB"/>
        </w:rPr>
        <w:t>.</w:t>
      </w:r>
      <w:r w:rsidR="00C70DB4">
        <w:rPr>
          <w:rFonts w:ascii="Times New Roman" w:hAnsi="Times New Roman" w:cs="Times New Roman"/>
          <w:sz w:val="24"/>
          <w:szCs w:val="24"/>
          <w:lang w:val="en-GB"/>
        </w:rPr>
        <w:t xml:space="preserve"> </w:t>
      </w:r>
      <w:r w:rsidR="0071237F">
        <w:rPr>
          <w:rFonts w:ascii="Times New Roman" w:hAnsi="Times New Roman" w:cs="Times New Roman"/>
          <w:sz w:val="24"/>
          <w:szCs w:val="24"/>
          <w:lang w:val="en-GB"/>
        </w:rPr>
        <w:t>These</w:t>
      </w:r>
      <w:r w:rsidR="00AA2455">
        <w:rPr>
          <w:rFonts w:ascii="Times New Roman" w:hAnsi="Times New Roman" w:cs="Times New Roman"/>
          <w:sz w:val="24"/>
          <w:szCs w:val="24"/>
          <w:lang w:val="en-GB"/>
        </w:rPr>
        <w:t xml:space="preserve"> results </w:t>
      </w:r>
      <w:r w:rsidR="00AB3514">
        <w:rPr>
          <w:rFonts w:ascii="Times New Roman" w:hAnsi="Times New Roman" w:cs="Times New Roman"/>
          <w:sz w:val="24"/>
          <w:szCs w:val="24"/>
          <w:lang w:val="en-GB"/>
        </w:rPr>
        <w:t>are thus opposite to what has been claimed in non-formal analysis.</w:t>
      </w:r>
    </w:p>
    <w:p w14:paraId="70218871" w14:textId="0A40D342" w:rsidR="00232B2B" w:rsidRDefault="0038129C" w:rsidP="002D4F3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Under </w:t>
      </w:r>
      <w:r w:rsidRPr="00AB3514">
        <w:rPr>
          <w:rFonts w:ascii="Times New Roman" w:hAnsi="Times New Roman" w:cs="Times New Roman"/>
          <w:i/>
          <w:iCs/>
          <w:sz w:val="24"/>
          <w:szCs w:val="24"/>
          <w:lang w:val="en-GB"/>
        </w:rPr>
        <w:t>inflation targeting</w:t>
      </w:r>
      <w:r w:rsidR="000B6B81">
        <w:rPr>
          <w:rFonts w:ascii="Times New Roman" w:hAnsi="Times New Roman" w:cs="Times New Roman"/>
          <w:sz w:val="24"/>
          <w:szCs w:val="24"/>
          <w:lang w:val="en-GB"/>
        </w:rPr>
        <w:t xml:space="preserve">, Calmfors and Seim assume that the central bank </w:t>
      </w:r>
      <w:r w:rsidR="002A438F">
        <w:rPr>
          <w:rFonts w:ascii="Times New Roman" w:hAnsi="Times New Roman" w:cs="Times New Roman"/>
          <w:sz w:val="24"/>
          <w:szCs w:val="24"/>
          <w:lang w:val="en-GB"/>
        </w:rPr>
        <w:t>pursue</w:t>
      </w:r>
      <w:r w:rsidR="00457DD5">
        <w:rPr>
          <w:rFonts w:ascii="Times New Roman" w:hAnsi="Times New Roman" w:cs="Times New Roman"/>
          <w:sz w:val="24"/>
          <w:szCs w:val="24"/>
          <w:lang w:val="en-GB"/>
        </w:rPr>
        <w:t>s</w:t>
      </w:r>
      <w:r w:rsidR="002A438F">
        <w:rPr>
          <w:rFonts w:ascii="Times New Roman" w:hAnsi="Times New Roman" w:cs="Times New Roman"/>
          <w:sz w:val="24"/>
          <w:szCs w:val="24"/>
          <w:lang w:val="en-GB"/>
        </w:rPr>
        <w:t xml:space="preserve"> </w:t>
      </w:r>
      <w:r w:rsidR="000B6B81">
        <w:rPr>
          <w:rFonts w:ascii="Times New Roman" w:hAnsi="Times New Roman" w:cs="Times New Roman"/>
          <w:sz w:val="24"/>
          <w:szCs w:val="24"/>
          <w:lang w:val="en-GB"/>
        </w:rPr>
        <w:t xml:space="preserve">monetary policy so that the </w:t>
      </w:r>
      <w:r w:rsidR="002A438F">
        <w:rPr>
          <w:rFonts w:ascii="Times New Roman" w:hAnsi="Times New Roman" w:cs="Times New Roman"/>
          <w:sz w:val="24"/>
          <w:szCs w:val="24"/>
          <w:lang w:val="en-GB"/>
        </w:rPr>
        <w:t>exchange rate</w:t>
      </w:r>
      <w:r w:rsidR="00EE7FB6">
        <w:rPr>
          <w:rFonts w:ascii="Times New Roman" w:hAnsi="Times New Roman" w:cs="Times New Roman"/>
          <w:sz w:val="24"/>
          <w:szCs w:val="24"/>
          <w:lang w:val="en-GB"/>
        </w:rPr>
        <w:t xml:space="preserve"> </w:t>
      </w:r>
      <w:r w:rsidR="002A438F">
        <w:rPr>
          <w:rFonts w:ascii="Times New Roman" w:hAnsi="Times New Roman" w:cs="Times New Roman"/>
          <w:sz w:val="24"/>
          <w:szCs w:val="24"/>
          <w:lang w:val="en-GB"/>
        </w:rPr>
        <w:t xml:space="preserve">adjusts </w:t>
      </w:r>
      <w:r w:rsidR="00AC0588">
        <w:rPr>
          <w:rFonts w:ascii="Times New Roman" w:hAnsi="Times New Roman" w:cs="Times New Roman"/>
          <w:sz w:val="24"/>
          <w:szCs w:val="24"/>
          <w:lang w:val="en-GB"/>
        </w:rPr>
        <w:t>such that the target is met</w:t>
      </w:r>
      <w:r w:rsidR="0059009F">
        <w:rPr>
          <w:rFonts w:ascii="Times New Roman" w:hAnsi="Times New Roman" w:cs="Times New Roman"/>
          <w:sz w:val="24"/>
          <w:szCs w:val="24"/>
          <w:lang w:val="en-GB"/>
        </w:rPr>
        <w:t xml:space="preserve">. </w:t>
      </w:r>
      <w:r w:rsidR="00E53406">
        <w:rPr>
          <w:rFonts w:ascii="Times New Roman" w:hAnsi="Times New Roman" w:cs="Times New Roman"/>
          <w:sz w:val="24"/>
          <w:szCs w:val="24"/>
          <w:lang w:val="en-GB"/>
        </w:rPr>
        <w:t>Then,</w:t>
      </w:r>
      <w:r w:rsidR="00CD5804">
        <w:rPr>
          <w:rFonts w:ascii="Times New Roman" w:hAnsi="Times New Roman" w:cs="Times New Roman"/>
          <w:sz w:val="24"/>
          <w:szCs w:val="24"/>
          <w:lang w:val="en-GB"/>
        </w:rPr>
        <w:t xml:space="preserve"> </w:t>
      </w:r>
      <w:r w:rsidR="00E6101F">
        <w:rPr>
          <w:rFonts w:ascii="Times New Roman" w:hAnsi="Times New Roman" w:cs="Times New Roman"/>
          <w:sz w:val="24"/>
          <w:szCs w:val="24"/>
          <w:lang w:val="en-GB"/>
        </w:rPr>
        <w:t xml:space="preserve">wage leadership for any of the </w:t>
      </w:r>
      <w:r w:rsidR="00534697">
        <w:rPr>
          <w:rFonts w:ascii="Times New Roman" w:hAnsi="Times New Roman" w:cs="Times New Roman"/>
          <w:sz w:val="24"/>
          <w:szCs w:val="24"/>
          <w:lang w:val="en-GB"/>
        </w:rPr>
        <w:t xml:space="preserve">sectors and uncoordinated bargaining produce identical </w:t>
      </w:r>
      <w:r w:rsidR="00F9763D">
        <w:rPr>
          <w:rFonts w:ascii="Times New Roman" w:hAnsi="Times New Roman" w:cs="Times New Roman"/>
          <w:sz w:val="24"/>
          <w:szCs w:val="24"/>
          <w:lang w:val="en-GB"/>
        </w:rPr>
        <w:t>outcomes.</w:t>
      </w:r>
      <w:r w:rsidR="006106F0">
        <w:rPr>
          <w:rFonts w:ascii="Times New Roman" w:hAnsi="Times New Roman" w:cs="Times New Roman"/>
          <w:sz w:val="24"/>
          <w:szCs w:val="24"/>
          <w:lang w:val="en-GB"/>
        </w:rPr>
        <w:t xml:space="preserve"> </w:t>
      </w:r>
      <w:r w:rsidR="00150EF9">
        <w:rPr>
          <w:rFonts w:ascii="Times New Roman" w:hAnsi="Times New Roman" w:cs="Times New Roman"/>
          <w:sz w:val="24"/>
          <w:szCs w:val="24"/>
          <w:lang w:val="en-GB"/>
        </w:rPr>
        <w:t xml:space="preserve">This </w:t>
      </w:r>
      <w:r w:rsidR="002C105B">
        <w:rPr>
          <w:rFonts w:ascii="Times New Roman" w:hAnsi="Times New Roman" w:cs="Times New Roman"/>
          <w:sz w:val="24"/>
          <w:szCs w:val="24"/>
          <w:lang w:val="en-GB"/>
        </w:rPr>
        <w:t xml:space="preserve">is because </w:t>
      </w:r>
      <w:r w:rsidR="002E6DD1">
        <w:rPr>
          <w:rFonts w:ascii="Times New Roman" w:hAnsi="Times New Roman" w:cs="Times New Roman"/>
          <w:sz w:val="24"/>
          <w:szCs w:val="24"/>
          <w:lang w:val="en-GB"/>
        </w:rPr>
        <w:t xml:space="preserve">the real consumption wage in each sector is a </w:t>
      </w:r>
      <w:r w:rsidR="00C56261">
        <w:rPr>
          <w:rFonts w:ascii="Times New Roman" w:hAnsi="Times New Roman" w:cs="Times New Roman"/>
          <w:sz w:val="24"/>
          <w:szCs w:val="24"/>
          <w:lang w:val="en-GB"/>
        </w:rPr>
        <w:t xml:space="preserve">constant </w:t>
      </w:r>
      <w:r w:rsidR="002E6DD1">
        <w:rPr>
          <w:rFonts w:ascii="Times New Roman" w:hAnsi="Times New Roman" w:cs="Times New Roman"/>
          <w:sz w:val="24"/>
          <w:szCs w:val="24"/>
          <w:lang w:val="en-GB"/>
        </w:rPr>
        <w:t>mark</w:t>
      </w:r>
      <w:r w:rsidR="00BA4DC9">
        <w:rPr>
          <w:rFonts w:ascii="Times New Roman" w:hAnsi="Times New Roman" w:cs="Times New Roman"/>
          <w:sz w:val="24"/>
          <w:szCs w:val="24"/>
          <w:lang w:val="en-GB"/>
        </w:rPr>
        <w:t>-</w:t>
      </w:r>
      <w:r w:rsidR="002E6DD1">
        <w:rPr>
          <w:rFonts w:ascii="Times New Roman" w:hAnsi="Times New Roman" w:cs="Times New Roman"/>
          <w:sz w:val="24"/>
          <w:szCs w:val="24"/>
          <w:lang w:val="en-GB"/>
        </w:rPr>
        <w:t xml:space="preserve">up on the </w:t>
      </w:r>
      <w:r w:rsidR="00A5582E">
        <w:rPr>
          <w:rFonts w:ascii="Times New Roman" w:hAnsi="Times New Roman" w:cs="Times New Roman"/>
          <w:sz w:val="24"/>
          <w:szCs w:val="24"/>
          <w:lang w:val="en-GB"/>
        </w:rPr>
        <w:t>(exogenous) income as unemployed</w:t>
      </w:r>
      <w:r w:rsidR="00BA4DC9">
        <w:rPr>
          <w:rFonts w:ascii="Times New Roman" w:hAnsi="Times New Roman" w:cs="Times New Roman"/>
          <w:sz w:val="24"/>
          <w:szCs w:val="24"/>
          <w:lang w:val="en-GB"/>
        </w:rPr>
        <w:t xml:space="preserve">. </w:t>
      </w:r>
      <w:r w:rsidR="00346273">
        <w:rPr>
          <w:rFonts w:ascii="Times New Roman" w:hAnsi="Times New Roman" w:cs="Times New Roman"/>
          <w:sz w:val="24"/>
          <w:szCs w:val="24"/>
          <w:lang w:val="en-GB"/>
        </w:rPr>
        <w:t>Hence,</w:t>
      </w:r>
      <w:r w:rsidR="003C12BB">
        <w:rPr>
          <w:rFonts w:ascii="Times New Roman" w:hAnsi="Times New Roman" w:cs="Times New Roman"/>
          <w:sz w:val="24"/>
          <w:szCs w:val="24"/>
          <w:lang w:val="en-GB"/>
        </w:rPr>
        <w:t xml:space="preserve"> the nominal wage</w:t>
      </w:r>
      <w:r w:rsidR="00A62F75">
        <w:rPr>
          <w:rFonts w:ascii="Times New Roman" w:hAnsi="Times New Roman" w:cs="Times New Roman"/>
          <w:sz w:val="24"/>
          <w:szCs w:val="24"/>
          <w:lang w:val="en-GB"/>
        </w:rPr>
        <w:t xml:space="preserve"> in a sector</w:t>
      </w:r>
      <w:r w:rsidR="003C12BB">
        <w:rPr>
          <w:rFonts w:ascii="Times New Roman" w:hAnsi="Times New Roman" w:cs="Times New Roman"/>
          <w:sz w:val="24"/>
          <w:szCs w:val="24"/>
          <w:lang w:val="en-GB"/>
        </w:rPr>
        <w:t xml:space="preserve"> changes</w:t>
      </w:r>
      <w:r w:rsidR="00754B04">
        <w:rPr>
          <w:rFonts w:ascii="Times New Roman" w:hAnsi="Times New Roman" w:cs="Times New Roman"/>
          <w:sz w:val="24"/>
          <w:szCs w:val="24"/>
          <w:lang w:val="en-GB"/>
        </w:rPr>
        <w:t xml:space="preserve"> (equiproportionally) only</w:t>
      </w:r>
      <w:r w:rsidR="003C12BB">
        <w:rPr>
          <w:rFonts w:ascii="Times New Roman" w:hAnsi="Times New Roman" w:cs="Times New Roman"/>
          <w:sz w:val="24"/>
          <w:szCs w:val="24"/>
          <w:lang w:val="en-GB"/>
        </w:rPr>
        <w:t xml:space="preserve"> when the CPI changes. B</w:t>
      </w:r>
      <w:r w:rsidR="00195B1D">
        <w:rPr>
          <w:rFonts w:ascii="Times New Roman" w:hAnsi="Times New Roman" w:cs="Times New Roman"/>
          <w:sz w:val="24"/>
          <w:szCs w:val="24"/>
          <w:lang w:val="en-GB"/>
        </w:rPr>
        <w:t xml:space="preserve">ut if the central bank </w:t>
      </w:r>
      <w:r w:rsidR="00DE748C">
        <w:rPr>
          <w:rFonts w:ascii="Times New Roman" w:hAnsi="Times New Roman" w:cs="Times New Roman"/>
          <w:sz w:val="24"/>
          <w:szCs w:val="24"/>
          <w:lang w:val="en-GB"/>
        </w:rPr>
        <w:t>holds the CPI fixed</w:t>
      </w:r>
      <w:r w:rsidR="00B87291">
        <w:rPr>
          <w:rFonts w:ascii="Times New Roman" w:hAnsi="Times New Roman" w:cs="Times New Roman"/>
          <w:sz w:val="24"/>
          <w:szCs w:val="24"/>
          <w:lang w:val="en-GB"/>
        </w:rPr>
        <w:t xml:space="preserve">, </w:t>
      </w:r>
      <w:r w:rsidR="00754B04">
        <w:rPr>
          <w:rFonts w:ascii="Times New Roman" w:hAnsi="Times New Roman" w:cs="Times New Roman"/>
          <w:sz w:val="24"/>
          <w:szCs w:val="24"/>
          <w:lang w:val="en-GB"/>
        </w:rPr>
        <w:t xml:space="preserve">this </w:t>
      </w:r>
      <w:r w:rsidR="009964A1">
        <w:rPr>
          <w:rFonts w:ascii="Times New Roman" w:hAnsi="Times New Roman" w:cs="Times New Roman"/>
          <w:sz w:val="24"/>
          <w:szCs w:val="24"/>
          <w:lang w:val="en-GB"/>
        </w:rPr>
        <w:t xml:space="preserve">shuts </w:t>
      </w:r>
      <w:r w:rsidR="00E55342">
        <w:rPr>
          <w:rFonts w:ascii="Times New Roman" w:hAnsi="Times New Roman" w:cs="Times New Roman"/>
          <w:sz w:val="24"/>
          <w:szCs w:val="24"/>
          <w:lang w:val="en-GB"/>
        </w:rPr>
        <w:t>down the effect</w:t>
      </w:r>
      <w:r w:rsidR="00D21C97">
        <w:rPr>
          <w:rFonts w:ascii="Times New Roman" w:hAnsi="Times New Roman" w:cs="Times New Roman"/>
          <w:sz w:val="24"/>
          <w:szCs w:val="24"/>
          <w:lang w:val="en-GB"/>
        </w:rPr>
        <w:t xml:space="preserve"> of a wage change in one sector </w:t>
      </w:r>
      <w:r w:rsidR="00462FDD">
        <w:rPr>
          <w:rFonts w:ascii="Times New Roman" w:hAnsi="Times New Roman" w:cs="Times New Roman"/>
          <w:sz w:val="24"/>
          <w:szCs w:val="24"/>
          <w:lang w:val="en-GB"/>
        </w:rPr>
        <w:t>on the wage in the ot</w:t>
      </w:r>
      <w:r w:rsidR="008D174A">
        <w:rPr>
          <w:rFonts w:ascii="Times New Roman" w:hAnsi="Times New Roman" w:cs="Times New Roman"/>
          <w:sz w:val="24"/>
          <w:szCs w:val="24"/>
          <w:lang w:val="en-GB"/>
        </w:rPr>
        <w:t>her</w:t>
      </w:r>
      <w:r w:rsidR="00462FDD">
        <w:rPr>
          <w:rFonts w:ascii="Times New Roman" w:hAnsi="Times New Roman" w:cs="Times New Roman"/>
          <w:sz w:val="24"/>
          <w:szCs w:val="24"/>
          <w:lang w:val="en-GB"/>
        </w:rPr>
        <w:t xml:space="preserve"> sector. Thus, </w:t>
      </w:r>
      <w:r w:rsidR="00F23D33">
        <w:rPr>
          <w:rFonts w:ascii="Times New Roman" w:hAnsi="Times New Roman" w:cs="Times New Roman"/>
          <w:sz w:val="24"/>
          <w:szCs w:val="24"/>
          <w:lang w:val="en-GB"/>
        </w:rPr>
        <w:t xml:space="preserve">the wage in the other sector is taken as exogenous </w:t>
      </w:r>
      <w:r w:rsidR="00893A26">
        <w:rPr>
          <w:rFonts w:ascii="Times New Roman" w:hAnsi="Times New Roman" w:cs="Times New Roman"/>
          <w:sz w:val="24"/>
          <w:szCs w:val="24"/>
          <w:lang w:val="en-GB"/>
        </w:rPr>
        <w:t xml:space="preserve">also under wage leadership and the optimisation problem becomes the same as under uncoordinated bargaining. </w:t>
      </w:r>
    </w:p>
    <w:p w14:paraId="5DE54F18" w14:textId="10D68373" w:rsidR="00637751" w:rsidRDefault="00A5771F" w:rsidP="002D4F3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Vartiainen (2010) analyses a similar model</w:t>
      </w:r>
      <w:r w:rsidR="008629F8">
        <w:rPr>
          <w:rFonts w:ascii="Times New Roman" w:hAnsi="Times New Roman" w:cs="Times New Roman"/>
          <w:sz w:val="24"/>
          <w:szCs w:val="24"/>
          <w:lang w:val="en-GB"/>
        </w:rPr>
        <w:t xml:space="preserve"> </w:t>
      </w:r>
      <w:r w:rsidR="001E0723">
        <w:rPr>
          <w:rFonts w:ascii="Times New Roman" w:hAnsi="Times New Roman" w:cs="Times New Roman"/>
          <w:sz w:val="24"/>
          <w:szCs w:val="24"/>
          <w:lang w:val="en-GB"/>
        </w:rPr>
        <w:t>as Calmfors and Seim</w:t>
      </w:r>
      <w:r w:rsidR="00352EBF">
        <w:rPr>
          <w:rFonts w:ascii="Times New Roman" w:hAnsi="Times New Roman" w:cs="Times New Roman"/>
          <w:sz w:val="24"/>
          <w:szCs w:val="24"/>
          <w:lang w:val="en-GB"/>
        </w:rPr>
        <w:t xml:space="preserve">, although </w:t>
      </w:r>
      <w:r w:rsidR="00663D93">
        <w:rPr>
          <w:rFonts w:ascii="Times New Roman" w:hAnsi="Times New Roman" w:cs="Times New Roman"/>
          <w:sz w:val="24"/>
          <w:szCs w:val="24"/>
          <w:lang w:val="en-GB"/>
        </w:rPr>
        <w:t xml:space="preserve">the assumption is </w:t>
      </w:r>
      <w:r w:rsidR="007A5225">
        <w:rPr>
          <w:rFonts w:ascii="Times New Roman" w:hAnsi="Times New Roman" w:cs="Times New Roman"/>
          <w:sz w:val="24"/>
          <w:szCs w:val="24"/>
          <w:lang w:val="en-GB"/>
        </w:rPr>
        <w:t>that wages are set by unions</w:t>
      </w:r>
      <w:r w:rsidR="00484B10">
        <w:rPr>
          <w:rFonts w:ascii="Times New Roman" w:hAnsi="Times New Roman" w:cs="Times New Roman"/>
          <w:sz w:val="24"/>
          <w:szCs w:val="24"/>
          <w:lang w:val="en-GB"/>
        </w:rPr>
        <w:t xml:space="preserve"> and not through bargaining</w:t>
      </w:r>
      <w:r w:rsidR="007A5225">
        <w:rPr>
          <w:rFonts w:ascii="Times New Roman" w:hAnsi="Times New Roman" w:cs="Times New Roman"/>
          <w:sz w:val="24"/>
          <w:szCs w:val="24"/>
          <w:lang w:val="en-GB"/>
        </w:rPr>
        <w:t xml:space="preserve">. </w:t>
      </w:r>
      <w:r w:rsidR="004D2C1C">
        <w:rPr>
          <w:rFonts w:ascii="Times New Roman" w:hAnsi="Times New Roman" w:cs="Times New Roman"/>
          <w:sz w:val="24"/>
          <w:szCs w:val="24"/>
          <w:lang w:val="en-GB"/>
        </w:rPr>
        <w:t>In his analysis</w:t>
      </w:r>
      <w:r w:rsidR="00C728EC">
        <w:rPr>
          <w:rFonts w:ascii="Times New Roman" w:hAnsi="Times New Roman" w:cs="Times New Roman"/>
          <w:sz w:val="24"/>
          <w:szCs w:val="24"/>
          <w:lang w:val="en-GB"/>
        </w:rPr>
        <w:t>, under inflation-targeting, pattern setting</w:t>
      </w:r>
      <w:r w:rsidR="006F4B67">
        <w:rPr>
          <w:rFonts w:ascii="Times New Roman" w:hAnsi="Times New Roman" w:cs="Times New Roman"/>
          <w:sz w:val="24"/>
          <w:szCs w:val="24"/>
          <w:lang w:val="en-GB"/>
        </w:rPr>
        <w:t xml:space="preserve"> by </w:t>
      </w:r>
      <w:r w:rsidR="006F4B67" w:rsidRPr="006F4B67">
        <w:rPr>
          <w:rFonts w:ascii="Times New Roman" w:hAnsi="Times New Roman" w:cs="Times New Roman"/>
          <w:i/>
          <w:iCs/>
          <w:sz w:val="24"/>
          <w:szCs w:val="24"/>
          <w:lang w:val="en-GB"/>
        </w:rPr>
        <w:t>any</w:t>
      </w:r>
      <w:r w:rsidR="006F4B67">
        <w:rPr>
          <w:rFonts w:ascii="Times New Roman" w:hAnsi="Times New Roman" w:cs="Times New Roman"/>
          <w:sz w:val="24"/>
          <w:szCs w:val="24"/>
          <w:lang w:val="en-GB"/>
        </w:rPr>
        <w:t xml:space="preserve"> of the sectors gives lower wages and higher employment than uncoordinated bargaining</w:t>
      </w:r>
      <w:r w:rsidR="00E35832">
        <w:rPr>
          <w:rFonts w:ascii="Times New Roman" w:hAnsi="Times New Roman" w:cs="Times New Roman"/>
          <w:sz w:val="24"/>
          <w:szCs w:val="24"/>
          <w:lang w:val="en-GB"/>
        </w:rPr>
        <w:t xml:space="preserve"> if </w:t>
      </w:r>
      <w:r w:rsidR="008378D3">
        <w:rPr>
          <w:rFonts w:ascii="Times New Roman" w:hAnsi="Times New Roman" w:cs="Times New Roman"/>
          <w:sz w:val="24"/>
          <w:szCs w:val="24"/>
          <w:lang w:val="en-GB"/>
        </w:rPr>
        <w:t>tradables and nontradables are not easily substitutable for each other.</w:t>
      </w:r>
      <w:r w:rsidR="00196294">
        <w:rPr>
          <w:rFonts w:ascii="Times New Roman" w:hAnsi="Times New Roman" w:cs="Times New Roman"/>
          <w:sz w:val="24"/>
          <w:szCs w:val="24"/>
          <w:lang w:val="en-GB"/>
        </w:rPr>
        <w:t xml:space="preserve"> </w:t>
      </w:r>
      <w:r w:rsidR="007A5225">
        <w:rPr>
          <w:rFonts w:ascii="Times New Roman" w:hAnsi="Times New Roman" w:cs="Times New Roman"/>
          <w:sz w:val="24"/>
          <w:szCs w:val="24"/>
          <w:lang w:val="en-GB"/>
        </w:rPr>
        <w:t xml:space="preserve"> </w:t>
      </w:r>
    </w:p>
    <w:p w14:paraId="7F4B7C63" w14:textId="18789E08" w:rsidR="00174BDE" w:rsidRDefault="00801086" w:rsidP="002D4F3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Juvonen (2023) </w:t>
      </w:r>
      <w:r w:rsidR="006B5F56">
        <w:rPr>
          <w:rFonts w:ascii="Times New Roman" w:hAnsi="Times New Roman" w:cs="Times New Roman"/>
          <w:sz w:val="24"/>
          <w:szCs w:val="24"/>
          <w:lang w:val="en-GB"/>
        </w:rPr>
        <w:t>uses</w:t>
      </w:r>
      <w:r w:rsidR="005B1743">
        <w:rPr>
          <w:rFonts w:ascii="Times New Roman" w:hAnsi="Times New Roman" w:cs="Times New Roman"/>
          <w:sz w:val="24"/>
          <w:szCs w:val="24"/>
          <w:lang w:val="en-GB"/>
        </w:rPr>
        <w:t xml:space="preserve"> a dynamic stochastic general equilibrium (DSGE) model with </w:t>
      </w:r>
      <w:r w:rsidR="00B90E07">
        <w:rPr>
          <w:rFonts w:ascii="Times New Roman" w:hAnsi="Times New Roman" w:cs="Times New Roman"/>
          <w:sz w:val="24"/>
          <w:szCs w:val="24"/>
          <w:lang w:val="en-GB"/>
        </w:rPr>
        <w:t>N</w:t>
      </w:r>
      <w:r w:rsidR="005B1743">
        <w:rPr>
          <w:rFonts w:ascii="Times New Roman" w:hAnsi="Times New Roman" w:cs="Times New Roman"/>
          <w:sz w:val="24"/>
          <w:szCs w:val="24"/>
          <w:lang w:val="en-GB"/>
        </w:rPr>
        <w:t xml:space="preserve">ew Keynesian </w:t>
      </w:r>
      <w:r w:rsidR="00B14111">
        <w:rPr>
          <w:rFonts w:ascii="Times New Roman" w:hAnsi="Times New Roman" w:cs="Times New Roman"/>
          <w:sz w:val="24"/>
          <w:szCs w:val="24"/>
          <w:lang w:val="en-GB"/>
        </w:rPr>
        <w:t>features</w:t>
      </w:r>
      <w:r w:rsidR="00B90E07">
        <w:rPr>
          <w:rFonts w:ascii="Times New Roman" w:hAnsi="Times New Roman" w:cs="Times New Roman"/>
          <w:sz w:val="24"/>
          <w:szCs w:val="24"/>
          <w:lang w:val="en-GB"/>
        </w:rPr>
        <w:t>, i.e</w:t>
      </w:r>
      <w:r w:rsidR="00F378D8">
        <w:rPr>
          <w:rFonts w:ascii="Times New Roman" w:hAnsi="Times New Roman" w:cs="Times New Roman"/>
          <w:sz w:val="24"/>
          <w:szCs w:val="24"/>
          <w:lang w:val="en-GB"/>
        </w:rPr>
        <w:t xml:space="preserve">. with </w:t>
      </w:r>
      <w:r w:rsidR="00F62BE7">
        <w:rPr>
          <w:rFonts w:ascii="Times New Roman" w:hAnsi="Times New Roman" w:cs="Times New Roman"/>
          <w:sz w:val="24"/>
          <w:szCs w:val="24"/>
          <w:lang w:val="en-GB"/>
        </w:rPr>
        <w:t>slow adjustment of nominal prices</w:t>
      </w:r>
      <w:r w:rsidR="0051404D">
        <w:rPr>
          <w:rFonts w:ascii="Times New Roman" w:hAnsi="Times New Roman" w:cs="Times New Roman"/>
          <w:sz w:val="24"/>
          <w:szCs w:val="24"/>
          <w:lang w:val="en-GB"/>
        </w:rPr>
        <w:t xml:space="preserve">. </w:t>
      </w:r>
      <w:r w:rsidR="00B14111">
        <w:rPr>
          <w:rFonts w:ascii="Times New Roman" w:hAnsi="Times New Roman" w:cs="Times New Roman"/>
          <w:sz w:val="24"/>
          <w:szCs w:val="24"/>
          <w:lang w:val="en-GB"/>
        </w:rPr>
        <w:t xml:space="preserve"> </w:t>
      </w:r>
      <w:r w:rsidR="002010DC">
        <w:rPr>
          <w:rFonts w:ascii="Times New Roman" w:hAnsi="Times New Roman" w:cs="Times New Roman"/>
          <w:sz w:val="24"/>
          <w:szCs w:val="24"/>
          <w:lang w:val="en-GB"/>
        </w:rPr>
        <w:t>A</w:t>
      </w:r>
      <w:r w:rsidR="009F2D15">
        <w:rPr>
          <w:rFonts w:ascii="Times New Roman" w:hAnsi="Times New Roman" w:cs="Times New Roman"/>
          <w:sz w:val="24"/>
          <w:szCs w:val="24"/>
          <w:lang w:val="en-GB"/>
        </w:rPr>
        <w:t xml:space="preserve"> tradables sector produces</w:t>
      </w:r>
      <w:r w:rsidR="002010DC">
        <w:rPr>
          <w:rFonts w:ascii="Times New Roman" w:hAnsi="Times New Roman" w:cs="Times New Roman"/>
          <w:sz w:val="24"/>
          <w:szCs w:val="24"/>
          <w:lang w:val="en-GB"/>
        </w:rPr>
        <w:t xml:space="preserve"> only export</w:t>
      </w:r>
      <w:r w:rsidR="009F2D15">
        <w:rPr>
          <w:rFonts w:ascii="Times New Roman" w:hAnsi="Times New Roman" w:cs="Times New Roman"/>
          <w:sz w:val="24"/>
          <w:szCs w:val="24"/>
          <w:lang w:val="en-GB"/>
        </w:rPr>
        <w:t xml:space="preserve"> goods</w:t>
      </w:r>
      <w:r w:rsidR="00151E44">
        <w:rPr>
          <w:rFonts w:ascii="Times New Roman" w:hAnsi="Times New Roman" w:cs="Times New Roman"/>
          <w:sz w:val="24"/>
          <w:szCs w:val="24"/>
          <w:lang w:val="en-GB"/>
        </w:rPr>
        <w:t xml:space="preserve">. Exporters are not </w:t>
      </w:r>
      <w:r w:rsidR="00F37DAA">
        <w:rPr>
          <w:rFonts w:ascii="Times New Roman" w:hAnsi="Times New Roman" w:cs="Times New Roman"/>
          <w:sz w:val="24"/>
          <w:szCs w:val="24"/>
          <w:lang w:val="en-GB"/>
        </w:rPr>
        <w:t>price takers</w:t>
      </w:r>
      <w:r w:rsidR="002879F7">
        <w:rPr>
          <w:rFonts w:ascii="Times New Roman" w:hAnsi="Times New Roman" w:cs="Times New Roman"/>
          <w:sz w:val="24"/>
          <w:szCs w:val="24"/>
          <w:lang w:val="en-GB"/>
        </w:rPr>
        <w:t>, as in the Calmfors-Seim and Vartia</w:t>
      </w:r>
      <w:r w:rsidR="005C6FF7">
        <w:rPr>
          <w:rFonts w:ascii="Times New Roman" w:hAnsi="Times New Roman" w:cs="Times New Roman"/>
          <w:sz w:val="24"/>
          <w:szCs w:val="24"/>
          <w:lang w:val="en-GB"/>
        </w:rPr>
        <w:t>inen models,</w:t>
      </w:r>
      <w:r w:rsidR="00F37DAA">
        <w:rPr>
          <w:rFonts w:ascii="Times New Roman" w:hAnsi="Times New Roman" w:cs="Times New Roman"/>
          <w:sz w:val="24"/>
          <w:szCs w:val="24"/>
          <w:lang w:val="en-GB"/>
        </w:rPr>
        <w:t xml:space="preserve"> but </w:t>
      </w:r>
      <w:r w:rsidR="00D85FD0">
        <w:rPr>
          <w:rFonts w:ascii="Times New Roman" w:hAnsi="Times New Roman" w:cs="Times New Roman"/>
          <w:sz w:val="24"/>
          <w:szCs w:val="24"/>
          <w:lang w:val="en-GB"/>
        </w:rPr>
        <w:t xml:space="preserve">monopolistically competitive firms </w:t>
      </w:r>
      <w:r w:rsidR="002B1D6E">
        <w:rPr>
          <w:rFonts w:ascii="Times New Roman" w:hAnsi="Times New Roman" w:cs="Times New Roman"/>
          <w:sz w:val="24"/>
          <w:szCs w:val="24"/>
          <w:lang w:val="en-GB"/>
        </w:rPr>
        <w:t xml:space="preserve">with sales depending on the relative price vis-á-vis </w:t>
      </w:r>
      <w:r w:rsidR="00687214">
        <w:rPr>
          <w:rFonts w:ascii="Times New Roman" w:hAnsi="Times New Roman" w:cs="Times New Roman"/>
          <w:sz w:val="24"/>
          <w:szCs w:val="24"/>
          <w:lang w:val="en-GB"/>
        </w:rPr>
        <w:t xml:space="preserve">foreign competitors. </w:t>
      </w:r>
      <w:r w:rsidR="00AC32B8">
        <w:rPr>
          <w:rFonts w:ascii="Times New Roman" w:hAnsi="Times New Roman" w:cs="Times New Roman"/>
          <w:sz w:val="24"/>
          <w:szCs w:val="24"/>
          <w:lang w:val="en-GB"/>
        </w:rPr>
        <w:t>Consumption</w:t>
      </w:r>
      <w:r w:rsidR="001A2DEB">
        <w:rPr>
          <w:rFonts w:ascii="Times New Roman" w:hAnsi="Times New Roman" w:cs="Times New Roman"/>
          <w:sz w:val="24"/>
          <w:szCs w:val="24"/>
          <w:lang w:val="en-GB"/>
        </w:rPr>
        <w:t xml:space="preserve"> </w:t>
      </w:r>
      <w:r w:rsidR="00957090">
        <w:rPr>
          <w:rFonts w:ascii="Times New Roman" w:hAnsi="Times New Roman" w:cs="Times New Roman"/>
          <w:sz w:val="24"/>
          <w:szCs w:val="24"/>
          <w:lang w:val="en-GB"/>
        </w:rPr>
        <w:t>comprises</w:t>
      </w:r>
      <w:r w:rsidR="001A2DEB">
        <w:rPr>
          <w:rFonts w:ascii="Times New Roman" w:hAnsi="Times New Roman" w:cs="Times New Roman"/>
          <w:sz w:val="24"/>
          <w:szCs w:val="24"/>
          <w:lang w:val="en-GB"/>
        </w:rPr>
        <w:t xml:space="preserve"> import goods</w:t>
      </w:r>
      <w:r w:rsidR="00B40A59">
        <w:rPr>
          <w:rFonts w:ascii="Times New Roman" w:hAnsi="Times New Roman" w:cs="Times New Roman"/>
          <w:sz w:val="24"/>
          <w:szCs w:val="24"/>
          <w:lang w:val="en-GB"/>
        </w:rPr>
        <w:t>,</w:t>
      </w:r>
      <w:r w:rsidR="001A2DEB">
        <w:rPr>
          <w:rFonts w:ascii="Times New Roman" w:hAnsi="Times New Roman" w:cs="Times New Roman"/>
          <w:sz w:val="24"/>
          <w:szCs w:val="24"/>
          <w:lang w:val="en-GB"/>
        </w:rPr>
        <w:t xml:space="preserve"> </w:t>
      </w:r>
      <w:r w:rsidR="00C167C8">
        <w:rPr>
          <w:rFonts w:ascii="Times New Roman" w:hAnsi="Times New Roman" w:cs="Times New Roman"/>
          <w:sz w:val="24"/>
          <w:szCs w:val="24"/>
          <w:lang w:val="en-GB"/>
        </w:rPr>
        <w:t xml:space="preserve">with a </w:t>
      </w:r>
      <w:r w:rsidR="00BA7B8F">
        <w:rPr>
          <w:rFonts w:ascii="Times New Roman" w:hAnsi="Times New Roman" w:cs="Times New Roman"/>
          <w:sz w:val="24"/>
          <w:szCs w:val="24"/>
          <w:lang w:val="en-GB"/>
        </w:rPr>
        <w:t>price given from abroad</w:t>
      </w:r>
      <w:r w:rsidR="00F7605A">
        <w:rPr>
          <w:rFonts w:ascii="Times New Roman" w:hAnsi="Times New Roman" w:cs="Times New Roman"/>
          <w:sz w:val="24"/>
          <w:szCs w:val="24"/>
          <w:lang w:val="en-GB"/>
        </w:rPr>
        <w:t>, and nontradables.</w:t>
      </w:r>
      <w:r w:rsidR="00D21BEF">
        <w:rPr>
          <w:rFonts w:ascii="Times New Roman" w:hAnsi="Times New Roman" w:cs="Times New Roman"/>
          <w:sz w:val="24"/>
          <w:szCs w:val="24"/>
          <w:lang w:val="en-GB"/>
        </w:rPr>
        <w:t xml:space="preserve"> </w:t>
      </w:r>
      <w:r w:rsidR="00F7605A">
        <w:rPr>
          <w:rFonts w:ascii="Times New Roman" w:hAnsi="Times New Roman" w:cs="Times New Roman"/>
          <w:sz w:val="24"/>
          <w:szCs w:val="24"/>
          <w:lang w:val="en-GB"/>
        </w:rPr>
        <w:t>The latter</w:t>
      </w:r>
      <w:r w:rsidR="00D21BEF">
        <w:rPr>
          <w:rFonts w:ascii="Times New Roman" w:hAnsi="Times New Roman" w:cs="Times New Roman"/>
          <w:sz w:val="24"/>
          <w:szCs w:val="24"/>
          <w:lang w:val="en-GB"/>
        </w:rPr>
        <w:t xml:space="preserve"> are also used </w:t>
      </w:r>
      <w:r w:rsidR="00056B8E">
        <w:rPr>
          <w:rFonts w:ascii="Times New Roman" w:hAnsi="Times New Roman" w:cs="Times New Roman"/>
          <w:sz w:val="24"/>
          <w:szCs w:val="24"/>
          <w:lang w:val="en-GB"/>
        </w:rPr>
        <w:t>as input</w:t>
      </w:r>
      <w:r w:rsidR="00EB7884">
        <w:rPr>
          <w:rFonts w:ascii="Times New Roman" w:hAnsi="Times New Roman" w:cs="Times New Roman"/>
          <w:sz w:val="24"/>
          <w:szCs w:val="24"/>
          <w:lang w:val="en-GB"/>
        </w:rPr>
        <w:t>s</w:t>
      </w:r>
      <w:r w:rsidR="00056B8E">
        <w:rPr>
          <w:rFonts w:ascii="Times New Roman" w:hAnsi="Times New Roman" w:cs="Times New Roman"/>
          <w:sz w:val="24"/>
          <w:szCs w:val="24"/>
          <w:lang w:val="en-GB"/>
        </w:rPr>
        <w:t xml:space="preserve"> in the production of tradables.</w:t>
      </w:r>
      <w:r w:rsidR="00EB7884">
        <w:rPr>
          <w:rFonts w:ascii="Times New Roman" w:hAnsi="Times New Roman" w:cs="Times New Roman"/>
          <w:sz w:val="24"/>
          <w:szCs w:val="24"/>
          <w:lang w:val="en-GB"/>
        </w:rPr>
        <w:t xml:space="preserve"> A</w:t>
      </w:r>
      <w:r w:rsidR="00174BDE">
        <w:rPr>
          <w:rFonts w:ascii="Times New Roman" w:hAnsi="Times New Roman" w:cs="Times New Roman"/>
          <w:sz w:val="24"/>
          <w:szCs w:val="24"/>
          <w:lang w:val="en-GB"/>
        </w:rPr>
        <w:t xml:space="preserve"> union in each </w:t>
      </w:r>
      <w:r w:rsidR="00AF78AE">
        <w:rPr>
          <w:rFonts w:ascii="Times New Roman" w:hAnsi="Times New Roman" w:cs="Times New Roman"/>
          <w:sz w:val="24"/>
          <w:szCs w:val="24"/>
          <w:lang w:val="en-GB"/>
        </w:rPr>
        <w:t>sector</w:t>
      </w:r>
      <w:r w:rsidR="005B3E0C">
        <w:rPr>
          <w:rFonts w:ascii="Times New Roman" w:hAnsi="Times New Roman" w:cs="Times New Roman"/>
          <w:sz w:val="24"/>
          <w:szCs w:val="24"/>
          <w:lang w:val="en-GB"/>
        </w:rPr>
        <w:t xml:space="preserve"> sets the wage by</w:t>
      </w:r>
      <w:r w:rsidR="00AF78AE">
        <w:rPr>
          <w:rFonts w:ascii="Times New Roman" w:hAnsi="Times New Roman" w:cs="Times New Roman"/>
          <w:sz w:val="24"/>
          <w:szCs w:val="24"/>
          <w:lang w:val="en-GB"/>
        </w:rPr>
        <w:t xml:space="preserve"> </w:t>
      </w:r>
      <w:r w:rsidR="00371906">
        <w:rPr>
          <w:rFonts w:ascii="Times New Roman" w:hAnsi="Times New Roman" w:cs="Times New Roman"/>
          <w:sz w:val="24"/>
          <w:szCs w:val="24"/>
          <w:lang w:val="en-GB"/>
        </w:rPr>
        <w:t>maximis</w:t>
      </w:r>
      <w:r w:rsidR="005B3E0C">
        <w:rPr>
          <w:rFonts w:ascii="Times New Roman" w:hAnsi="Times New Roman" w:cs="Times New Roman"/>
          <w:sz w:val="24"/>
          <w:szCs w:val="24"/>
          <w:lang w:val="en-GB"/>
        </w:rPr>
        <w:t>ing</w:t>
      </w:r>
      <w:r w:rsidR="00371906">
        <w:rPr>
          <w:rFonts w:ascii="Times New Roman" w:hAnsi="Times New Roman" w:cs="Times New Roman"/>
          <w:sz w:val="24"/>
          <w:szCs w:val="24"/>
          <w:lang w:val="en-GB"/>
        </w:rPr>
        <w:t xml:space="preserve"> </w:t>
      </w:r>
      <w:r w:rsidR="00DB4878">
        <w:rPr>
          <w:rFonts w:ascii="Times New Roman" w:hAnsi="Times New Roman" w:cs="Times New Roman"/>
          <w:sz w:val="24"/>
          <w:szCs w:val="24"/>
          <w:lang w:val="en-GB"/>
        </w:rPr>
        <w:t xml:space="preserve">the expected lifetime utility of </w:t>
      </w:r>
      <w:r w:rsidR="00C74E1A">
        <w:rPr>
          <w:rFonts w:ascii="Times New Roman" w:hAnsi="Times New Roman" w:cs="Times New Roman"/>
          <w:sz w:val="24"/>
          <w:szCs w:val="24"/>
          <w:lang w:val="en-GB"/>
        </w:rPr>
        <w:t>a repre</w:t>
      </w:r>
      <w:r w:rsidR="005B3E0C">
        <w:rPr>
          <w:rFonts w:ascii="Times New Roman" w:hAnsi="Times New Roman" w:cs="Times New Roman"/>
          <w:sz w:val="24"/>
          <w:szCs w:val="24"/>
          <w:lang w:val="en-GB"/>
        </w:rPr>
        <w:t xml:space="preserve">sentative </w:t>
      </w:r>
      <w:r w:rsidR="009E4F3E">
        <w:rPr>
          <w:rFonts w:ascii="Times New Roman" w:hAnsi="Times New Roman" w:cs="Times New Roman"/>
          <w:sz w:val="24"/>
          <w:szCs w:val="24"/>
          <w:lang w:val="en-GB"/>
        </w:rPr>
        <w:t xml:space="preserve">member </w:t>
      </w:r>
      <w:r w:rsidR="00B7281F">
        <w:rPr>
          <w:rFonts w:ascii="Times New Roman" w:hAnsi="Times New Roman" w:cs="Times New Roman"/>
          <w:sz w:val="24"/>
          <w:szCs w:val="24"/>
          <w:lang w:val="en-GB"/>
        </w:rPr>
        <w:t xml:space="preserve">with per-period utility depending </w:t>
      </w:r>
      <w:r w:rsidR="005253D1">
        <w:rPr>
          <w:rFonts w:ascii="Times New Roman" w:hAnsi="Times New Roman" w:cs="Times New Roman"/>
          <w:sz w:val="24"/>
          <w:szCs w:val="24"/>
          <w:lang w:val="en-GB"/>
        </w:rPr>
        <w:t>positively on</w:t>
      </w:r>
      <w:r w:rsidR="00B7281F">
        <w:rPr>
          <w:rFonts w:ascii="Times New Roman" w:hAnsi="Times New Roman" w:cs="Times New Roman"/>
          <w:sz w:val="24"/>
          <w:szCs w:val="24"/>
          <w:lang w:val="en-GB"/>
        </w:rPr>
        <w:t xml:space="preserve"> </w:t>
      </w:r>
      <w:r w:rsidR="00985F73">
        <w:rPr>
          <w:rFonts w:ascii="Times New Roman" w:hAnsi="Times New Roman" w:cs="Times New Roman"/>
          <w:sz w:val="24"/>
          <w:szCs w:val="24"/>
          <w:lang w:val="en-GB"/>
        </w:rPr>
        <w:t>consumption (</w:t>
      </w:r>
      <w:r w:rsidR="00A7663E">
        <w:rPr>
          <w:rFonts w:ascii="Times New Roman" w:hAnsi="Times New Roman" w:cs="Times New Roman"/>
          <w:sz w:val="24"/>
          <w:szCs w:val="24"/>
          <w:lang w:val="en-GB"/>
        </w:rPr>
        <w:t xml:space="preserve">= </w:t>
      </w:r>
      <w:r w:rsidR="00985F73">
        <w:rPr>
          <w:rFonts w:ascii="Times New Roman" w:hAnsi="Times New Roman" w:cs="Times New Roman"/>
          <w:sz w:val="24"/>
          <w:szCs w:val="24"/>
          <w:lang w:val="en-GB"/>
        </w:rPr>
        <w:t>real income</w:t>
      </w:r>
      <w:r w:rsidR="00BE1648">
        <w:rPr>
          <w:rFonts w:ascii="Times New Roman" w:hAnsi="Times New Roman" w:cs="Times New Roman"/>
          <w:sz w:val="24"/>
          <w:szCs w:val="24"/>
          <w:lang w:val="en-GB"/>
        </w:rPr>
        <w:t xml:space="preserve"> = real </w:t>
      </w:r>
      <w:r w:rsidR="00BE1648">
        <w:rPr>
          <w:rFonts w:ascii="Times New Roman" w:hAnsi="Times New Roman" w:cs="Times New Roman"/>
          <w:sz w:val="24"/>
          <w:szCs w:val="24"/>
          <w:lang w:val="en-GB"/>
        </w:rPr>
        <w:lastRenderedPageBreak/>
        <w:t xml:space="preserve">wage </w:t>
      </w:r>
      <w:r w:rsidR="0053240B">
        <w:rPr>
          <w:rFonts w:ascii="Times New Roman" w:hAnsi="Times New Roman" w:cs="Times New Roman"/>
          <w:sz w:val="24"/>
          <w:szCs w:val="24"/>
          <w:lang w:val="en-GB"/>
        </w:rPr>
        <w:t xml:space="preserve">× </w:t>
      </w:r>
      <w:r w:rsidR="009E0591">
        <w:rPr>
          <w:rFonts w:ascii="Times New Roman" w:hAnsi="Times New Roman" w:cs="Times New Roman"/>
          <w:sz w:val="24"/>
          <w:szCs w:val="24"/>
          <w:lang w:val="en-GB"/>
        </w:rPr>
        <w:t>employment</w:t>
      </w:r>
      <w:r w:rsidR="00985F73">
        <w:rPr>
          <w:rFonts w:ascii="Times New Roman" w:hAnsi="Times New Roman" w:cs="Times New Roman"/>
          <w:sz w:val="24"/>
          <w:szCs w:val="24"/>
          <w:lang w:val="en-GB"/>
        </w:rPr>
        <w:t xml:space="preserve">) </w:t>
      </w:r>
      <w:r w:rsidR="00B96D1C">
        <w:rPr>
          <w:rFonts w:ascii="Times New Roman" w:hAnsi="Times New Roman" w:cs="Times New Roman"/>
          <w:sz w:val="24"/>
          <w:szCs w:val="24"/>
          <w:lang w:val="en-GB"/>
        </w:rPr>
        <w:t xml:space="preserve">and </w:t>
      </w:r>
      <w:r w:rsidR="005253D1">
        <w:rPr>
          <w:rFonts w:ascii="Times New Roman" w:hAnsi="Times New Roman" w:cs="Times New Roman"/>
          <w:sz w:val="24"/>
          <w:szCs w:val="24"/>
          <w:lang w:val="en-GB"/>
        </w:rPr>
        <w:t xml:space="preserve">negatively on </w:t>
      </w:r>
      <w:r w:rsidR="009E0591">
        <w:rPr>
          <w:rFonts w:ascii="Times New Roman" w:hAnsi="Times New Roman" w:cs="Times New Roman"/>
          <w:sz w:val="24"/>
          <w:szCs w:val="24"/>
          <w:lang w:val="en-GB"/>
        </w:rPr>
        <w:t>employment</w:t>
      </w:r>
      <w:r w:rsidR="00202FBF">
        <w:rPr>
          <w:rFonts w:ascii="Times New Roman" w:hAnsi="Times New Roman" w:cs="Times New Roman"/>
          <w:sz w:val="24"/>
          <w:szCs w:val="24"/>
          <w:lang w:val="en-GB"/>
        </w:rPr>
        <w:t xml:space="preserve"> </w:t>
      </w:r>
      <w:r w:rsidR="00084225">
        <w:rPr>
          <w:rFonts w:ascii="Times New Roman" w:hAnsi="Times New Roman" w:cs="Times New Roman"/>
          <w:sz w:val="24"/>
          <w:szCs w:val="24"/>
          <w:lang w:val="en-GB"/>
        </w:rPr>
        <w:t>(</w:t>
      </w:r>
      <w:r w:rsidR="00EB2B20">
        <w:rPr>
          <w:rFonts w:ascii="Times New Roman" w:hAnsi="Times New Roman" w:cs="Times New Roman"/>
          <w:sz w:val="24"/>
          <w:szCs w:val="24"/>
          <w:lang w:val="en-GB"/>
        </w:rPr>
        <w:t>higher</w:t>
      </w:r>
      <w:r w:rsidR="00084225">
        <w:rPr>
          <w:rFonts w:ascii="Times New Roman" w:hAnsi="Times New Roman" w:cs="Times New Roman"/>
          <w:sz w:val="24"/>
          <w:szCs w:val="24"/>
          <w:lang w:val="en-GB"/>
        </w:rPr>
        <w:t xml:space="preserve"> employment implying less leisure)</w:t>
      </w:r>
      <w:r w:rsidR="00A52E85">
        <w:rPr>
          <w:rFonts w:ascii="Times New Roman" w:hAnsi="Times New Roman" w:cs="Times New Roman"/>
          <w:sz w:val="24"/>
          <w:szCs w:val="24"/>
          <w:lang w:val="en-GB"/>
        </w:rPr>
        <w:t>.</w:t>
      </w:r>
      <w:r w:rsidR="003E2D69">
        <w:rPr>
          <w:rStyle w:val="FootnoteReference"/>
          <w:rFonts w:ascii="Times New Roman" w:hAnsi="Times New Roman" w:cs="Times New Roman"/>
          <w:sz w:val="24"/>
          <w:szCs w:val="24"/>
          <w:lang w:val="en-GB"/>
        </w:rPr>
        <w:footnoteReference w:id="29"/>
      </w:r>
      <w:r w:rsidR="003E2D69">
        <w:rPr>
          <w:rFonts w:ascii="Times New Roman" w:hAnsi="Times New Roman" w:cs="Times New Roman"/>
          <w:sz w:val="24"/>
          <w:szCs w:val="24"/>
          <w:lang w:val="en-GB"/>
        </w:rPr>
        <w:t xml:space="preserve"> </w:t>
      </w:r>
    </w:p>
    <w:p w14:paraId="21D568E1" w14:textId="47E4C1B0" w:rsidR="009C77FD" w:rsidRDefault="00640D2E" w:rsidP="002D4F3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Juvonen</w:t>
      </w:r>
      <w:r w:rsidR="00FE3EFE">
        <w:rPr>
          <w:rFonts w:ascii="Times New Roman" w:hAnsi="Times New Roman" w:cs="Times New Roman"/>
          <w:sz w:val="24"/>
          <w:szCs w:val="24"/>
          <w:lang w:val="en-GB"/>
        </w:rPr>
        <w:t>’s analysis is restricted to</w:t>
      </w:r>
      <w:r>
        <w:rPr>
          <w:rFonts w:ascii="Times New Roman" w:hAnsi="Times New Roman" w:cs="Times New Roman"/>
          <w:sz w:val="24"/>
          <w:szCs w:val="24"/>
          <w:lang w:val="en-GB"/>
        </w:rPr>
        <w:t xml:space="preserve"> </w:t>
      </w:r>
      <w:r w:rsidR="00035799">
        <w:rPr>
          <w:rFonts w:ascii="Times New Roman" w:hAnsi="Times New Roman" w:cs="Times New Roman"/>
          <w:sz w:val="24"/>
          <w:szCs w:val="24"/>
          <w:lang w:val="en-GB"/>
        </w:rPr>
        <w:t>membership in a monetary union</w:t>
      </w:r>
      <w:r w:rsidR="005073A2">
        <w:rPr>
          <w:rFonts w:ascii="Times New Roman" w:hAnsi="Times New Roman" w:cs="Times New Roman"/>
          <w:sz w:val="24"/>
          <w:szCs w:val="24"/>
          <w:lang w:val="en-GB"/>
        </w:rPr>
        <w:t xml:space="preserve">. </w:t>
      </w:r>
      <w:r w:rsidR="00FC2852">
        <w:rPr>
          <w:rFonts w:ascii="Times New Roman" w:hAnsi="Times New Roman" w:cs="Times New Roman"/>
          <w:sz w:val="24"/>
          <w:szCs w:val="24"/>
          <w:lang w:val="en-GB"/>
        </w:rPr>
        <w:t xml:space="preserve">Like Calmfors and Seim (2013), </w:t>
      </w:r>
      <w:r w:rsidR="005073A2">
        <w:rPr>
          <w:rFonts w:ascii="Times New Roman" w:hAnsi="Times New Roman" w:cs="Times New Roman"/>
          <w:sz w:val="24"/>
          <w:szCs w:val="24"/>
          <w:lang w:val="en-GB"/>
        </w:rPr>
        <w:t>he</w:t>
      </w:r>
      <w:r w:rsidR="00FC2852">
        <w:rPr>
          <w:rFonts w:ascii="Times New Roman" w:hAnsi="Times New Roman" w:cs="Times New Roman"/>
          <w:sz w:val="24"/>
          <w:szCs w:val="24"/>
          <w:lang w:val="en-GB"/>
        </w:rPr>
        <w:t xml:space="preserve"> finds that</w:t>
      </w:r>
      <w:r w:rsidR="00600881">
        <w:rPr>
          <w:rFonts w:ascii="Times New Roman" w:hAnsi="Times New Roman" w:cs="Times New Roman"/>
          <w:sz w:val="24"/>
          <w:szCs w:val="24"/>
          <w:lang w:val="en-GB"/>
        </w:rPr>
        <w:t xml:space="preserve"> </w:t>
      </w:r>
      <w:r w:rsidR="00FD0186">
        <w:rPr>
          <w:rFonts w:ascii="Times New Roman" w:hAnsi="Times New Roman" w:cs="Times New Roman"/>
          <w:sz w:val="24"/>
          <w:szCs w:val="24"/>
          <w:lang w:val="en-GB"/>
        </w:rPr>
        <w:t>pattern setting by the</w:t>
      </w:r>
      <w:r w:rsidR="00A75F67">
        <w:rPr>
          <w:rFonts w:ascii="Times New Roman" w:hAnsi="Times New Roman" w:cs="Times New Roman"/>
          <w:sz w:val="24"/>
          <w:szCs w:val="24"/>
          <w:lang w:val="en-GB"/>
        </w:rPr>
        <w:t xml:space="preserve"> trad</w:t>
      </w:r>
      <w:r w:rsidR="009813CB">
        <w:rPr>
          <w:rFonts w:ascii="Times New Roman" w:hAnsi="Times New Roman" w:cs="Times New Roman"/>
          <w:sz w:val="24"/>
          <w:szCs w:val="24"/>
          <w:lang w:val="en-GB"/>
        </w:rPr>
        <w:t xml:space="preserve">ables sector gives a higher wage </w:t>
      </w:r>
      <w:r w:rsidR="00442D23">
        <w:rPr>
          <w:rFonts w:ascii="Times New Roman" w:hAnsi="Times New Roman" w:cs="Times New Roman"/>
          <w:sz w:val="24"/>
          <w:szCs w:val="24"/>
          <w:lang w:val="en-GB"/>
        </w:rPr>
        <w:t>in that sector</w:t>
      </w:r>
      <w:r w:rsidR="009813CB">
        <w:rPr>
          <w:rFonts w:ascii="Times New Roman" w:hAnsi="Times New Roman" w:cs="Times New Roman"/>
          <w:sz w:val="24"/>
          <w:szCs w:val="24"/>
          <w:lang w:val="en-GB"/>
        </w:rPr>
        <w:t xml:space="preserve"> and lower </w:t>
      </w:r>
      <w:r w:rsidR="00FD0186">
        <w:rPr>
          <w:rFonts w:ascii="Times New Roman" w:hAnsi="Times New Roman" w:cs="Times New Roman"/>
          <w:sz w:val="24"/>
          <w:szCs w:val="24"/>
          <w:lang w:val="en-GB"/>
        </w:rPr>
        <w:t>aggregate</w:t>
      </w:r>
      <w:r w:rsidR="009813CB">
        <w:rPr>
          <w:rFonts w:ascii="Times New Roman" w:hAnsi="Times New Roman" w:cs="Times New Roman"/>
          <w:sz w:val="24"/>
          <w:szCs w:val="24"/>
          <w:lang w:val="en-GB"/>
        </w:rPr>
        <w:t xml:space="preserve"> employment than uncoordinated </w:t>
      </w:r>
      <w:r w:rsidR="00A236B9">
        <w:rPr>
          <w:rFonts w:ascii="Times New Roman" w:hAnsi="Times New Roman" w:cs="Times New Roman"/>
          <w:sz w:val="24"/>
          <w:szCs w:val="24"/>
          <w:lang w:val="en-GB"/>
        </w:rPr>
        <w:t>wage setting</w:t>
      </w:r>
      <w:r w:rsidR="009813CB">
        <w:rPr>
          <w:rFonts w:ascii="Times New Roman" w:hAnsi="Times New Roman" w:cs="Times New Roman"/>
          <w:sz w:val="24"/>
          <w:szCs w:val="24"/>
          <w:lang w:val="en-GB"/>
        </w:rPr>
        <w:t xml:space="preserve">. Unlike in Calmfors and Seim, leadership for the nontradables sector results in a higher wage there and lower </w:t>
      </w:r>
      <w:r w:rsidR="0040283B">
        <w:rPr>
          <w:rFonts w:ascii="Times New Roman" w:hAnsi="Times New Roman" w:cs="Times New Roman"/>
          <w:sz w:val="24"/>
          <w:szCs w:val="24"/>
          <w:lang w:val="en-GB"/>
        </w:rPr>
        <w:t xml:space="preserve">aggregate </w:t>
      </w:r>
      <w:r w:rsidR="009813CB">
        <w:rPr>
          <w:rFonts w:ascii="Times New Roman" w:hAnsi="Times New Roman" w:cs="Times New Roman"/>
          <w:sz w:val="24"/>
          <w:szCs w:val="24"/>
          <w:lang w:val="en-GB"/>
        </w:rPr>
        <w:t>employment than in the uncoordinated equilibrium.</w:t>
      </w:r>
      <w:r w:rsidR="00E47B32">
        <w:rPr>
          <w:rFonts w:ascii="Times New Roman" w:hAnsi="Times New Roman" w:cs="Times New Roman"/>
          <w:sz w:val="24"/>
          <w:szCs w:val="24"/>
          <w:lang w:val="en-GB"/>
        </w:rPr>
        <w:t xml:space="preserve"> </w:t>
      </w:r>
      <w:r w:rsidR="00935443">
        <w:rPr>
          <w:rFonts w:ascii="Times New Roman" w:hAnsi="Times New Roman" w:cs="Times New Roman"/>
          <w:sz w:val="24"/>
          <w:szCs w:val="24"/>
          <w:lang w:val="en-GB"/>
        </w:rPr>
        <w:t>But leadership</w:t>
      </w:r>
      <w:r w:rsidR="00E47B32">
        <w:rPr>
          <w:rFonts w:ascii="Times New Roman" w:hAnsi="Times New Roman" w:cs="Times New Roman"/>
          <w:sz w:val="24"/>
          <w:szCs w:val="24"/>
          <w:lang w:val="en-GB"/>
        </w:rPr>
        <w:t xml:space="preserve"> for the tradables sector is</w:t>
      </w:r>
      <w:r w:rsidR="00935443">
        <w:rPr>
          <w:rFonts w:ascii="Times New Roman" w:hAnsi="Times New Roman" w:cs="Times New Roman"/>
          <w:sz w:val="24"/>
          <w:szCs w:val="24"/>
          <w:lang w:val="en-GB"/>
        </w:rPr>
        <w:t xml:space="preserve"> </w:t>
      </w:r>
      <w:r w:rsidR="00E47B32">
        <w:rPr>
          <w:rFonts w:ascii="Times New Roman" w:hAnsi="Times New Roman" w:cs="Times New Roman"/>
          <w:sz w:val="24"/>
          <w:szCs w:val="24"/>
          <w:lang w:val="en-GB"/>
        </w:rPr>
        <w:t xml:space="preserve">associated </w:t>
      </w:r>
      <w:r w:rsidR="005F5492">
        <w:rPr>
          <w:rFonts w:ascii="Times New Roman" w:hAnsi="Times New Roman" w:cs="Times New Roman"/>
          <w:sz w:val="24"/>
          <w:szCs w:val="24"/>
          <w:lang w:val="en-GB"/>
        </w:rPr>
        <w:t>with more aggressive wage setting and lower international competitiveness (higher export prices) than leadership for the nontradables sector</w:t>
      </w:r>
      <w:r w:rsidR="0012797A">
        <w:rPr>
          <w:rFonts w:ascii="Times New Roman" w:hAnsi="Times New Roman" w:cs="Times New Roman"/>
          <w:sz w:val="24"/>
          <w:szCs w:val="24"/>
          <w:lang w:val="en-GB"/>
        </w:rPr>
        <w:t xml:space="preserve"> as in Calmfors and Seim</w:t>
      </w:r>
      <w:r w:rsidR="00230444">
        <w:rPr>
          <w:rFonts w:ascii="Times New Roman" w:hAnsi="Times New Roman" w:cs="Times New Roman"/>
          <w:sz w:val="24"/>
          <w:szCs w:val="24"/>
          <w:lang w:val="en-GB"/>
        </w:rPr>
        <w:t>’s analysis.</w:t>
      </w:r>
    </w:p>
    <w:p w14:paraId="31216CA7" w14:textId="6E2C260B" w:rsidR="00EA218A" w:rsidRDefault="00A04BC8" w:rsidP="002D4F3C">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Pattern bargaining as a social norm</w:t>
      </w:r>
    </w:p>
    <w:p w14:paraId="2337FF07" w14:textId="06E702EB" w:rsidR="009342E0" w:rsidRDefault="00FC6604" w:rsidP="002D4F3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third approach is to </w:t>
      </w:r>
      <w:r w:rsidR="008522BD">
        <w:rPr>
          <w:rFonts w:ascii="Times New Roman" w:hAnsi="Times New Roman" w:cs="Times New Roman"/>
          <w:sz w:val="24"/>
          <w:szCs w:val="24"/>
          <w:lang w:val="en-GB"/>
        </w:rPr>
        <w:t xml:space="preserve">assume that the pattern setter </w:t>
      </w:r>
      <w:r w:rsidR="00BA749D">
        <w:rPr>
          <w:rFonts w:ascii="Times New Roman" w:hAnsi="Times New Roman" w:cs="Times New Roman"/>
          <w:sz w:val="24"/>
          <w:szCs w:val="24"/>
          <w:lang w:val="en-GB"/>
        </w:rPr>
        <w:t>sets</w:t>
      </w:r>
      <w:r w:rsidR="00412995">
        <w:rPr>
          <w:rFonts w:ascii="Times New Roman" w:hAnsi="Times New Roman" w:cs="Times New Roman"/>
          <w:sz w:val="24"/>
          <w:szCs w:val="24"/>
          <w:lang w:val="en-GB"/>
        </w:rPr>
        <w:t xml:space="preserve"> her wage </w:t>
      </w:r>
      <w:r w:rsidR="0088032D">
        <w:rPr>
          <w:rFonts w:ascii="Times New Roman" w:hAnsi="Times New Roman" w:cs="Times New Roman"/>
          <w:sz w:val="24"/>
          <w:szCs w:val="24"/>
          <w:lang w:val="en-GB"/>
        </w:rPr>
        <w:t xml:space="preserve">by maximising </w:t>
      </w:r>
      <w:r w:rsidR="00E31C2E">
        <w:rPr>
          <w:rFonts w:ascii="Times New Roman" w:hAnsi="Times New Roman" w:cs="Times New Roman"/>
          <w:sz w:val="24"/>
          <w:szCs w:val="24"/>
          <w:lang w:val="en-GB"/>
        </w:rPr>
        <w:t>the</w:t>
      </w:r>
      <w:r w:rsidR="0088032D">
        <w:rPr>
          <w:rFonts w:ascii="Times New Roman" w:hAnsi="Times New Roman" w:cs="Times New Roman"/>
          <w:sz w:val="24"/>
          <w:szCs w:val="24"/>
          <w:lang w:val="en-GB"/>
        </w:rPr>
        <w:t xml:space="preserve"> own utility knowing </w:t>
      </w:r>
      <w:r w:rsidR="0001692C">
        <w:rPr>
          <w:rFonts w:ascii="Times New Roman" w:hAnsi="Times New Roman" w:cs="Times New Roman"/>
          <w:sz w:val="24"/>
          <w:szCs w:val="24"/>
          <w:lang w:val="en-GB"/>
        </w:rPr>
        <w:t xml:space="preserve">that a social norm will </w:t>
      </w:r>
      <w:r w:rsidR="00FB6F9D">
        <w:rPr>
          <w:rFonts w:ascii="Times New Roman" w:hAnsi="Times New Roman" w:cs="Times New Roman"/>
          <w:sz w:val="24"/>
          <w:szCs w:val="24"/>
          <w:lang w:val="en-GB"/>
        </w:rPr>
        <w:t>make</w:t>
      </w:r>
      <w:r w:rsidR="00480EA5">
        <w:rPr>
          <w:rFonts w:ascii="Times New Roman" w:hAnsi="Times New Roman" w:cs="Times New Roman"/>
          <w:sz w:val="24"/>
          <w:szCs w:val="24"/>
          <w:lang w:val="en-GB"/>
        </w:rPr>
        <w:t xml:space="preserve"> </w:t>
      </w:r>
      <w:r w:rsidR="00C6415A">
        <w:rPr>
          <w:rFonts w:ascii="Times New Roman" w:hAnsi="Times New Roman" w:cs="Times New Roman"/>
          <w:sz w:val="24"/>
          <w:szCs w:val="24"/>
          <w:lang w:val="en-GB"/>
        </w:rPr>
        <w:t>followers choose the same wage</w:t>
      </w:r>
      <w:r w:rsidR="00147151">
        <w:rPr>
          <w:rFonts w:ascii="Times New Roman" w:hAnsi="Times New Roman" w:cs="Times New Roman"/>
          <w:sz w:val="24"/>
          <w:szCs w:val="24"/>
          <w:lang w:val="en-GB"/>
        </w:rPr>
        <w:t xml:space="preserve"> (increases).</w:t>
      </w:r>
      <w:r w:rsidR="00BA749D">
        <w:rPr>
          <w:rFonts w:ascii="Times New Roman" w:hAnsi="Times New Roman" w:cs="Times New Roman"/>
          <w:sz w:val="24"/>
          <w:szCs w:val="24"/>
          <w:lang w:val="en-GB"/>
        </w:rPr>
        <w:t xml:space="preserve"> </w:t>
      </w:r>
      <w:r w:rsidR="00542A07">
        <w:rPr>
          <w:rFonts w:ascii="Times New Roman" w:hAnsi="Times New Roman" w:cs="Times New Roman"/>
          <w:sz w:val="24"/>
          <w:szCs w:val="24"/>
          <w:lang w:val="en-GB"/>
        </w:rPr>
        <w:t xml:space="preserve"> </w:t>
      </w:r>
      <w:r w:rsidR="00E47FDF">
        <w:rPr>
          <w:rFonts w:ascii="Times New Roman" w:hAnsi="Times New Roman" w:cs="Times New Roman"/>
          <w:sz w:val="24"/>
          <w:szCs w:val="24"/>
          <w:lang w:val="en-GB"/>
        </w:rPr>
        <w:t>V</w:t>
      </w:r>
      <w:r w:rsidR="001540F8">
        <w:rPr>
          <w:rFonts w:ascii="Times New Roman" w:hAnsi="Times New Roman" w:cs="Times New Roman"/>
          <w:sz w:val="24"/>
          <w:szCs w:val="24"/>
          <w:lang w:val="en-GB"/>
        </w:rPr>
        <w:t>artiainen (2010) shows that</w:t>
      </w:r>
      <w:r w:rsidR="00EF27C7">
        <w:rPr>
          <w:rFonts w:ascii="Times New Roman" w:hAnsi="Times New Roman" w:cs="Times New Roman"/>
          <w:sz w:val="24"/>
          <w:szCs w:val="24"/>
          <w:lang w:val="en-GB"/>
        </w:rPr>
        <w:t xml:space="preserve"> such behaviour </w:t>
      </w:r>
      <w:r w:rsidR="00FB22C7">
        <w:rPr>
          <w:rFonts w:ascii="Times New Roman" w:hAnsi="Times New Roman" w:cs="Times New Roman"/>
          <w:sz w:val="24"/>
          <w:szCs w:val="24"/>
          <w:lang w:val="en-GB"/>
        </w:rPr>
        <w:t xml:space="preserve">on the part of </w:t>
      </w:r>
      <w:r w:rsidR="00E548CB">
        <w:rPr>
          <w:rFonts w:ascii="Times New Roman" w:hAnsi="Times New Roman" w:cs="Times New Roman"/>
          <w:sz w:val="24"/>
          <w:szCs w:val="24"/>
          <w:lang w:val="en-GB"/>
        </w:rPr>
        <w:t xml:space="preserve">the </w:t>
      </w:r>
      <w:r w:rsidR="00FB22C7">
        <w:rPr>
          <w:rFonts w:ascii="Times New Roman" w:hAnsi="Times New Roman" w:cs="Times New Roman"/>
          <w:sz w:val="24"/>
          <w:szCs w:val="24"/>
          <w:lang w:val="en-GB"/>
        </w:rPr>
        <w:t>follower</w:t>
      </w:r>
      <w:r w:rsidR="00480EA5">
        <w:rPr>
          <w:rFonts w:ascii="Times New Roman" w:hAnsi="Times New Roman" w:cs="Times New Roman"/>
          <w:sz w:val="24"/>
          <w:szCs w:val="24"/>
          <w:lang w:val="en-GB"/>
        </w:rPr>
        <w:t>, under inflation targeting,</w:t>
      </w:r>
      <w:r w:rsidR="00FB22C7">
        <w:rPr>
          <w:rFonts w:ascii="Times New Roman" w:hAnsi="Times New Roman" w:cs="Times New Roman"/>
          <w:sz w:val="24"/>
          <w:szCs w:val="24"/>
          <w:lang w:val="en-GB"/>
        </w:rPr>
        <w:t xml:space="preserve"> </w:t>
      </w:r>
      <w:r w:rsidR="00AB7B36">
        <w:rPr>
          <w:rFonts w:ascii="Times New Roman" w:hAnsi="Times New Roman" w:cs="Times New Roman"/>
          <w:sz w:val="24"/>
          <w:szCs w:val="24"/>
          <w:lang w:val="en-GB"/>
        </w:rPr>
        <w:t xml:space="preserve">restrains </w:t>
      </w:r>
      <w:r w:rsidR="001A7507">
        <w:rPr>
          <w:rFonts w:ascii="Times New Roman" w:hAnsi="Times New Roman" w:cs="Times New Roman"/>
          <w:sz w:val="24"/>
          <w:szCs w:val="24"/>
          <w:lang w:val="en-GB"/>
        </w:rPr>
        <w:t xml:space="preserve">the leader’s </w:t>
      </w:r>
      <w:r w:rsidR="00013F00">
        <w:rPr>
          <w:rFonts w:ascii="Times New Roman" w:hAnsi="Times New Roman" w:cs="Times New Roman"/>
          <w:sz w:val="24"/>
          <w:szCs w:val="24"/>
          <w:lang w:val="en-GB"/>
        </w:rPr>
        <w:t>choice of wage</w:t>
      </w:r>
      <w:r w:rsidR="00AB7B36">
        <w:rPr>
          <w:rFonts w:ascii="Times New Roman" w:hAnsi="Times New Roman" w:cs="Times New Roman"/>
          <w:sz w:val="24"/>
          <w:szCs w:val="24"/>
          <w:lang w:val="en-GB"/>
        </w:rPr>
        <w:t xml:space="preserve"> strongly</w:t>
      </w:r>
      <w:r w:rsidR="001A1F03">
        <w:rPr>
          <w:rFonts w:ascii="Times New Roman" w:hAnsi="Times New Roman" w:cs="Times New Roman"/>
          <w:sz w:val="24"/>
          <w:szCs w:val="24"/>
          <w:lang w:val="en-GB"/>
        </w:rPr>
        <w:t xml:space="preserve">, </w:t>
      </w:r>
      <w:r w:rsidR="00AB7B36">
        <w:rPr>
          <w:rFonts w:ascii="Times New Roman" w:hAnsi="Times New Roman" w:cs="Times New Roman"/>
          <w:sz w:val="24"/>
          <w:szCs w:val="24"/>
          <w:lang w:val="en-GB"/>
        </w:rPr>
        <w:t>more so</w:t>
      </w:r>
      <w:r w:rsidR="00BB39DC">
        <w:rPr>
          <w:rFonts w:ascii="Times New Roman" w:hAnsi="Times New Roman" w:cs="Times New Roman"/>
          <w:sz w:val="24"/>
          <w:szCs w:val="24"/>
          <w:lang w:val="en-GB"/>
        </w:rPr>
        <w:t xml:space="preserve"> than in the Stackelberg </w:t>
      </w:r>
      <w:r w:rsidR="00022E83">
        <w:rPr>
          <w:rFonts w:ascii="Times New Roman" w:hAnsi="Times New Roman" w:cs="Times New Roman"/>
          <w:sz w:val="24"/>
          <w:szCs w:val="24"/>
          <w:lang w:val="en-GB"/>
        </w:rPr>
        <w:t>case</w:t>
      </w:r>
      <w:r w:rsidR="00C250BF">
        <w:rPr>
          <w:rFonts w:ascii="Times New Roman" w:hAnsi="Times New Roman" w:cs="Times New Roman"/>
          <w:sz w:val="24"/>
          <w:szCs w:val="24"/>
          <w:lang w:val="en-GB"/>
        </w:rPr>
        <w:t xml:space="preserve"> w</w:t>
      </w:r>
      <w:r w:rsidR="008D174A">
        <w:rPr>
          <w:rFonts w:ascii="Times New Roman" w:hAnsi="Times New Roman" w:cs="Times New Roman"/>
          <w:sz w:val="24"/>
          <w:szCs w:val="24"/>
          <w:lang w:val="en-GB"/>
        </w:rPr>
        <w:t>her</w:t>
      </w:r>
      <w:r w:rsidR="00C250BF">
        <w:rPr>
          <w:rFonts w:ascii="Times New Roman" w:hAnsi="Times New Roman" w:cs="Times New Roman"/>
          <w:sz w:val="24"/>
          <w:szCs w:val="24"/>
          <w:lang w:val="en-GB"/>
        </w:rPr>
        <w:t xml:space="preserve">e the leader takes into account that the follower </w:t>
      </w:r>
      <w:r w:rsidR="00625DD7">
        <w:rPr>
          <w:rFonts w:ascii="Times New Roman" w:hAnsi="Times New Roman" w:cs="Times New Roman"/>
          <w:sz w:val="24"/>
          <w:szCs w:val="24"/>
          <w:lang w:val="en-GB"/>
        </w:rPr>
        <w:t xml:space="preserve">sets </w:t>
      </w:r>
      <w:r w:rsidR="008D174A">
        <w:rPr>
          <w:rFonts w:ascii="Times New Roman" w:hAnsi="Times New Roman" w:cs="Times New Roman"/>
          <w:sz w:val="24"/>
          <w:szCs w:val="24"/>
          <w:lang w:val="en-GB"/>
        </w:rPr>
        <w:t>her</w:t>
      </w:r>
      <w:r w:rsidR="00625DD7">
        <w:rPr>
          <w:rFonts w:ascii="Times New Roman" w:hAnsi="Times New Roman" w:cs="Times New Roman"/>
          <w:sz w:val="24"/>
          <w:szCs w:val="24"/>
          <w:lang w:val="en-GB"/>
        </w:rPr>
        <w:t xml:space="preserve"> wage through utility </w:t>
      </w:r>
      <w:r w:rsidR="00E40E0E">
        <w:rPr>
          <w:rFonts w:ascii="Times New Roman" w:hAnsi="Times New Roman" w:cs="Times New Roman"/>
          <w:sz w:val="24"/>
          <w:szCs w:val="24"/>
          <w:lang w:val="en-GB"/>
        </w:rPr>
        <w:t xml:space="preserve">maximisation. </w:t>
      </w:r>
      <w:r w:rsidR="00415EFD">
        <w:rPr>
          <w:rFonts w:ascii="Times New Roman" w:hAnsi="Times New Roman" w:cs="Times New Roman"/>
          <w:sz w:val="24"/>
          <w:szCs w:val="24"/>
          <w:lang w:val="en-GB"/>
        </w:rPr>
        <w:t>In the model</w:t>
      </w:r>
      <w:r w:rsidR="00742AA3">
        <w:rPr>
          <w:rFonts w:ascii="Times New Roman" w:hAnsi="Times New Roman" w:cs="Times New Roman"/>
          <w:sz w:val="24"/>
          <w:szCs w:val="24"/>
          <w:lang w:val="en-GB"/>
        </w:rPr>
        <w:t xml:space="preserve">, </w:t>
      </w:r>
      <w:r w:rsidR="009E4F5F">
        <w:rPr>
          <w:rFonts w:ascii="Times New Roman" w:hAnsi="Times New Roman" w:cs="Times New Roman"/>
          <w:sz w:val="24"/>
          <w:szCs w:val="24"/>
          <w:lang w:val="en-GB"/>
        </w:rPr>
        <w:t xml:space="preserve">a fixed relative wage </w:t>
      </w:r>
      <w:r w:rsidR="00B40A59">
        <w:rPr>
          <w:rFonts w:ascii="Times New Roman" w:hAnsi="Times New Roman" w:cs="Times New Roman"/>
          <w:sz w:val="24"/>
          <w:szCs w:val="24"/>
          <w:lang w:val="en-GB"/>
        </w:rPr>
        <w:t>implies</w:t>
      </w:r>
      <w:r w:rsidR="009E4F5F">
        <w:rPr>
          <w:rFonts w:ascii="Times New Roman" w:hAnsi="Times New Roman" w:cs="Times New Roman"/>
          <w:sz w:val="24"/>
          <w:szCs w:val="24"/>
          <w:lang w:val="en-GB"/>
        </w:rPr>
        <w:t xml:space="preserve"> a fixed relative price</w:t>
      </w:r>
      <w:r w:rsidR="00835110">
        <w:rPr>
          <w:rFonts w:ascii="Times New Roman" w:hAnsi="Times New Roman" w:cs="Times New Roman"/>
          <w:sz w:val="24"/>
          <w:szCs w:val="24"/>
          <w:lang w:val="en-GB"/>
        </w:rPr>
        <w:t xml:space="preserve"> between the sectors</w:t>
      </w:r>
      <w:r w:rsidR="009E4F5F">
        <w:rPr>
          <w:rFonts w:ascii="Times New Roman" w:hAnsi="Times New Roman" w:cs="Times New Roman"/>
          <w:sz w:val="24"/>
          <w:szCs w:val="24"/>
          <w:lang w:val="en-GB"/>
        </w:rPr>
        <w:t>.</w:t>
      </w:r>
      <w:r w:rsidR="009B56CD">
        <w:rPr>
          <w:rStyle w:val="FootnoteReference"/>
          <w:rFonts w:ascii="Times New Roman" w:hAnsi="Times New Roman" w:cs="Times New Roman"/>
          <w:sz w:val="24"/>
          <w:szCs w:val="24"/>
          <w:lang w:val="en-GB"/>
        </w:rPr>
        <w:footnoteReference w:id="30"/>
      </w:r>
      <w:r w:rsidR="009E4F5F">
        <w:rPr>
          <w:rFonts w:ascii="Times New Roman" w:hAnsi="Times New Roman" w:cs="Times New Roman"/>
          <w:sz w:val="24"/>
          <w:szCs w:val="24"/>
          <w:lang w:val="en-GB"/>
        </w:rPr>
        <w:t xml:space="preserve"> </w:t>
      </w:r>
      <w:r w:rsidR="00E14B79">
        <w:rPr>
          <w:rFonts w:ascii="Times New Roman" w:hAnsi="Times New Roman" w:cs="Times New Roman"/>
          <w:sz w:val="24"/>
          <w:szCs w:val="24"/>
          <w:lang w:val="en-GB"/>
        </w:rPr>
        <w:t>Hence</w:t>
      </w:r>
      <w:r w:rsidR="00BC5246">
        <w:rPr>
          <w:rFonts w:ascii="Times New Roman" w:hAnsi="Times New Roman" w:cs="Times New Roman"/>
          <w:sz w:val="24"/>
          <w:szCs w:val="24"/>
          <w:lang w:val="en-GB"/>
        </w:rPr>
        <w:t xml:space="preserve">, </w:t>
      </w:r>
      <w:r w:rsidR="006C3B2C">
        <w:rPr>
          <w:rFonts w:ascii="Times New Roman" w:hAnsi="Times New Roman" w:cs="Times New Roman"/>
          <w:sz w:val="24"/>
          <w:szCs w:val="24"/>
          <w:lang w:val="en-GB"/>
        </w:rPr>
        <w:t xml:space="preserve">if </w:t>
      </w:r>
      <w:r w:rsidR="00121047">
        <w:rPr>
          <w:rFonts w:ascii="Times New Roman" w:hAnsi="Times New Roman" w:cs="Times New Roman"/>
          <w:sz w:val="24"/>
          <w:szCs w:val="24"/>
          <w:lang w:val="en-GB"/>
        </w:rPr>
        <w:t xml:space="preserve">the </w:t>
      </w:r>
      <w:r w:rsidR="00CA0E25">
        <w:rPr>
          <w:rFonts w:ascii="Times New Roman" w:hAnsi="Times New Roman" w:cs="Times New Roman"/>
          <w:sz w:val="24"/>
          <w:szCs w:val="24"/>
          <w:lang w:val="en-GB"/>
        </w:rPr>
        <w:t>CPI is held constant by the central bank</w:t>
      </w:r>
      <w:r w:rsidR="00821EAE">
        <w:rPr>
          <w:rFonts w:ascii="Times New Roman" w:hAnsi="Times New Roman" w:cs="Times New Roman"/>
          <w:sz w:val="24"/>
          <w:szCs w:val="24"/>
          <w:lang w:val="en-GB"/>
        </w:rPr>
        <w:t xml:space="preserve">, </w:t>
      </w:r>
      <w:r w:rsidR="005D2E03">
        <w:rPr>
          <w:rFonts w:ascii="Times New Roman" w:hAnsi="Times New Roman" w:cs="Times New Roman"/>
          <w:sz w:val="24"/>
          <w:szCs w:val="24"/>
          <w:lang w:val="en-GB"/>
        </w:rPr>
        <w:t xml:space="preserve">the </w:t>
      </w:r>
      <w:r w:rsidR="004A4B4F">
        <w:rPr>
          <w:rFonts w:ascii="Times New Roman" w:hAnsi="Times New Roman" w:cs="Times New Roman"/>
          <w:sz w:val="24"/>
          <w:szCs w:val="24"/>
          <w:lang w:val="en-GB"/>
        </w:rPr>
        <w:t xml:space="preserve">increase </w:t>
      </w:r>
      <w:r w:rsidR="00E31266">
        <w:rPr>
          <w:rFonts w:ascii="Times New Roman" w:hAnsi="Times New Roman" w:cs="Times New Roman"/>
          <w:sz w:val="24"/>
          <w:szCs w:val="24"/>
          <w:lang w:val="en-GB"/>
        </w:rPr>
        <w:t>in the real product wage</w:t>
      </w:r>
      <w:r w:rsidR="00374B89">
        <w:rPr>
          <w:rFonts w:ascii="Times New Roman" w:hAnsi="Times New Roman" w:cs="Times New Roman"/>
          <w:sz w:val="24"/>
          <w:szCs w:val="24"/>
          <w:lang w:val="en-GB"/>
        </w:rPr>
        <w:t xml:space="preserve">, and hence the fall in employment, </w:t>
      </w:r>
      <w:r w:rsidR="00002EF0">
        <w:rPr>
          <w:rFonts w:ascii="Times New Roman" w:hAnsi="Times New Roman" w:cs="Times New Roman"/>
          <w:sz w:val="24"/>
          <w:szCs w:val="24"/>
          <w:lang w:val="en-GB"/>
        </w:rPr>
        <w:t xml:space="preserve">in the leader sector caused by </w:t>
      </w:r>
      <w:r w:rsidR="00C550BB">
        <w:rPr>
          <w:rFonts w:ascii="Times New Roman" w:hAnsi="Times New Roman" w:cs="Times New Roman"/>
          <w:sz w:val="24"/>
          <w:szCs w:val="24"/>
          <w:lang w:val="en-GB"/>
        </w:rPr>
        <w:t xml:space="preserve">an increase in the nominal </w:t>
      </w:r>
      <w:r w:rsidR="00EE67C1">
        <w:rPr>
          <w:rFonts w:ascii="Times New Roman" w:hAnsi="Times New Roman" w:cs="Times New Roman"/>
          <w:sz w:val="24"/>
          <w:szCs w:val="24"/>
          <w:lang w:val="en-GB"/>
        </w:rPr>
        <w:t>wage</w:t>
      </w:r>
      <w:r w:rsidR="00E801B7">
        <w:rPr>
          <w:rFonts w:ascii="Times New Roman" w:hAnsi="Times New Roman" w:cs="Times New Roman"/>
          <w:sz w:val="24"/>
          <w:szCs w:val="24"/>
          <w:lang w:val="en-GB"/>
        </w:rPr>
        <w:t xml:space="preserve"> t</w:t>
      </w:r>
      <w:r w:rsidR="008D174A">
        <w:rPr>
          <w:rFonts w:ascii="Times New Roman" w:hAnsi="Times New Roman" w:cs="Times New Roman"/>
          <w:sz w:val="24"/>
          <w:szCs w:val="24"/>
          <w:lang w:val="en-GB"/>
        </w:rPr>
        <w:t>her</w:t>
      </w:r>
      <w:r w:rsidR="00E801B7">
        <w:rPr>
          <w:rFonts w:ascii="Times New Roman" w:hAnsi="Times New Roman" w:cs="Times New Roman"/>
          <w:sz w:val="24"/>
          <w:szCs w:val="24"/>
          <w:lang w:val="en-GB"/>
        </w:rPr>
        <w:t xml:space="preserve">e </w:t>
      </w:r>
      <w:r w:rsidR="00B078BF">
        <w:rPr>
          <w:rFonts w:ascii="Times New Roman" w:hAnsi="Times New Roman" w:cs="Times New Roman"/>
          <w:sz w:val="24"/>
          <w:szCs w:val="24"/>
          <w:lang w:val="en-GB"/>
        </w:rPr>
        <w:t xml:space="preserve">is not mitigated by an increase in the </w:t>
      </w:r>
      <w:r w:rsidR="00D47138">
        <w:rPr>
          <w:rFonts w:ascii="Times New Roman" w:hAnsi="Times New Roman" w:cs="Times New Roman"/>
          <w:sz w:val="24"/>
          <w:szCs w:val="24"/>
          <w:lang w:val="en-GB"/>
        </w:rPr>
        <w:t>product</w:t>
      </w:r>
      <w:r w:rsidR="00B078BF">
        <w:rPr>
          <w:rFonts w:ascii="Times New Roman" w:hAnsi="Times New Roman" w:cs="Times New Roman"/>
          <w:sz w:val="24"/>
          <w:szCs w:val="24"/>
          <w:lang w:val="en-GB"/>
        </w:rPr>
        <w:t xml:space="preserve"> price</w:t>
      </w:r>
      <w:r w:rsidR="00331DBB">
        <w:rPr>
          <w:rFonts w:ascii="Times New Roman" w:hAnsi="Times New Roman" w:cs="Times New Roman"/>
          <w:sz w:val="24"/>
          <w:szCs w:val="24"/>
          <w:lang w:val="en-GB"/>
        </w:rPr>
        <w:t>.</w:t>
      </w:r>
      <w:r w:rsidR="0019094E">
        <w:rPr>
          <w:rStyle w:val="FootnoteReference"/>
          <w:rFonts w:ascii="Times New Roman" w:hAnsi="Times New Roman" w:cs="Times New Roman"/>
          <w:sz w:val="24"/>
          <w:szCs w:val="24"/>
          <w:lang w:val="en-GB"/>
        </w:rPr>
        <w:footnoteReference w:id="31"/>
      </w:r>
      <w:r w:rsidR="003E2CF8">
        <w:rPr>
          <w:rFonts w:ascii="Times New Roman" w:hAnsi="Times New Roman" w:cs="Times New Roman"/>
          <w:sz w:val="24"/>
          <w:szCs w:val="24"/>
          <w:lang w:val="en-GB"/>
        </w:rPr>
        <w:t xml:space="preserve"> </w:t>
      </w:r>
      <w:r w:rsidR="00CF776D">
        <w:rPr>
          <w:rFonts w:ascii="Times New Roman" w:hAnsi="Times New Roman" w:cs="Times New Roman"/>
          <w:sz w:val="24"/>
          <w:szCs w:val="24"/>
          <w:lang w:val="en-GB"/>
        </w:rPr>
        <w:t xml:space="preserve">The mimicking of the leader´s wage increases by the follower disciplines the leader as she realises that high wage increases on her part induces </w:t>
      </w:r>
      <w:r w:rsidR="006E7088">
        <w:rPr>
          <w:rFonts w:ascii="Times New Roman" w:hAnsi="Times New Roman" w:cs="Times New Roman"/>
          <w:sz w:val="24"/>
          <w:szCs w:val="24"/>
          <w:lang w:val="en-GB"/>
        </w:rPr>
        <w:t>the same</w:t>
      </w:r>
      <w:r w:rsidR="00CF776D">
        <w:rPr>
          <w:rFonts w:ascii="Times New Roman" w:hAnsi="Times New Roman" w:cs="Times New Roman"/>
          <w:sz w:val="24"/>
          <w:szCs w:val="24"/>
          <w:lang w:val="en-GB"/>
        </w:rPr>
        <w:t xml:space="preserve"> behaviour by the follower</w:t>
      </w:r>
      <w:r w:rsidR="006E7088">
        <w:rPr>
          <w:rFonts w:ascii="Times New Roman" w:hAnsi="Times New Roman" w:cs="Times New Roman"/>
          <w:sz w:val="24"/>
          <w:szCs w:val="24"/>
          <w:lang w:val="en-GB"/>
        </w:rPr>
        <w:t xml:space="preserve"> with an adverse effect</w:t>
      </w:r>
      <w:r w:rsidR="00CF776D">
        <w:rPr>
          <w:rFonts w:ascii="Times New Roman" w:hAnsi="Times New Roman" w:cs="Times New Roman"/>
          <w:sz w:val="24"/>
          <w:szCs w:val="24"/>
          <w:lang w:val="en-GB"/>
        </w:rPr>
        <w:t xml:space="preserve"> on her own welfare.</w:t>
      </w:r>
      <w:r w:rsidR="006E7088">
        <w:rPr>
          <w:rFonts w:ascii="Times New Roman" w:hAnsi="Times New Roman" w:cs="Times New Roman"/>
          <w:sz w:val="24"/>
          <w:szCs w:val="24"/>
          <w:lang w:val="en-GB"/>
        </w:rPr>
        <w:t xml:space="preserve"> The</w:t>
      </w:r>
      <w:r w:rsidR="003E2CF8">
        <w:rPr>
          <w:rFonts w:ascii="Times New Roman" w:hAnsi="Times New Roman" w:cs="Times New Roman"/>
          <w:sz w:val="24"/>
          <w:szCs w:val="24"/>
          <w:lang w:val="en-GB"/>
        </w:rPr>
        <w:t xml:space="preserve"> restraining forces are the same </w:t>
      </w:r>
      <w:r w:rsidR="00E5454F">
        <w:rPr>
          <w:rFonts w:ascii="Times New Roman" w:hAnsi="Times New Roman" w:cs="Times New Roman"/>
          <w:sz w:val="24"/>
          <w:szCs w:val="24"/>
          <w:lang w:val="en-GB"/>
        </w:rPr>
        <w:t xml:space="preserve">irrespective </w:t>
      </w:r>
      <w:r w:rsidR="005D1DC7">
        <w:rPr>
          <w:rFonts w:ascii="Times New Roman" w:hAnsi="Times New Roman" w:cs="Times New Roman"/>
          <w:sz w:val="24"/>
          <w:szCs w:val="24"/>
          <w:lang w:val="en-GB"/>
        </w:rPr>
        <w:t>of whet</w:t>
      </w:r>
      <w:r w:rsidR="008D174A">
        <w:rPr>
          <w:rFonts w:ascii="Times New Roman" w:hAnsi="Times New Roman" w:cs="Times New Roman"/>
          <w:sz w:val="24"/>
          <w:szCs w:val="24"/>
          <w:lang w:val="en-GB"/>
        </w:rPr>
        <w:t>her</w:t>
      </w:r>
      <w:r w:rsidR="005D1DC7">
        <w:rPr>
          <w:rFonts w:ascii="Times New Roman" w:hAnsi="Times New Roman" w:cs="Times New Roman"/>
          <w:sz w:val="24"/>
          <w:szCs w:val="24"/>
          <w:lang w:val="en-GB"/>
        </w:rPr>
        <w:t xml:space="preserve"> the tradables or the nontradables sector </w:t>
      </w:r>
      <w:r w:rsidR="001E3142">
        <w:rPr>
          <w:rFonts w:ascii="Times New Roman" w:hAnsi="Times New Roman" w:cs="Times New Roman"/>
          <w:sz w:val="24"/>
          <w:szCs w:val="24"/>
          <w:lang w:val="en-GB"/>
        </w:rPr>
        <w:t>is leader</w:t>
      </w:r>
      <w:r w:rsidR="009B56CD">
        <w:rPr>
          <w:rFonts w:ascii="Times New Roman" w:hAnsi="Times New Roman" w:cs="Times New Roman"/>
          <w:sz w:val="24"/>
          <w:szCs w:val="24"/>
          <w:lang w:val="en-GB"/>
        </w:rPr>
        <w:t>.</w:t>
      </w:r>
      <w:r w:rsidR="008D174A">
        <w:rPr>
          <w:rFonts w:ascii="Times New Roman" w:hAnsi="Times New Roman" w:cs="Times New Roman"/>
          <w:sz w:val="24"/>
          <w:szCs w:val="24"/>
          <w:lang w:val="en-GB"/>
        </w:rPr>
        <w:t xml:space="preserve"> </w:t>
      </w:r>
    </w:p>
    <w:p w14:paraId="0D9B5628" w14:textId="110329CA" w:rsidR="0026267B" w:rsidRDefault="0026267B" w:rsidP="0026267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Juvonen (2023) draws similar conclusions </w:t>
      </w:r>
      <w:r w:rsidR="0093624F">
        <w:rPr>
          <w:rFonts w:ascii="Times New Roman" w:hAnsi="Times New Roman" w:cs="Times New Roman"/>
          <w:sz w:val="24"/>
          <w:szCs w:val="24"/>
          <w:lang w:val="en-GB"/>
        </w:rPr>
        <w:t>regarding</w:t>
      </w:r>
      <w:r w:rsidR="00DF4518">
        <w:rPr>
          <w:rFonts w:ascii="Times New Roman" w:hAnsi="Times New Roman" w:cs="Times New Roman"/>
          <w:sz w:val="24"/>
          <w:szCs w:val="24"/>
          <w:lang w:val="en-GB"/>
        </w:rPr>
        <w:t xml:space="preserve"> the social-norm</w:t>
      </w:r>
      <w:r w:rsidR="0093624F">
        <w:rPr>
          <w:rFonts w:ascii="Times New Roman" w:hAnsi="Times New Roman" w:cs="Times New Roman"/>
          <w:sz w:val="24"/>
          <w:szCs w:val="24"/>
          <w:lang w:val="en-GB"/>
        </w:rPr>
        <w:t xml:space="preserve"> cas</w:t>
      </w:r>
      <w:r w:rsidR="00387469">
        <w:rPr>
          <w:rFonts w:ascii="Times New Roman" w:hAnsi="Times New Roman" w:cs="Times New Roman"/>
          <w:sz w:val="24"/>
          <w:szCs w:val="24"/>
          <w:lang w:val="en-GB"/>
        </w:rPr>
        <w:t>e</w:t>
      </w:r>
      <w:r w:rsidR="00DF4518">
        <w:rPr>
          <w:rFonts w:ascii="Times New Roman" w:hAnsi="Times New Roman" w:cs="Times New Roman"/>
          <w:sz w:val="24"/>
          <w:szCs w:val="24"/>
          <w:lang w:val="en-GB"/>
        </w:rPr>
        <w:t xml:space="preserve"> as</w:t>
      </w:r>
      <w:r w:rsidR="00E7408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Vartiainen </w:t>
      </w:r>
      <w:r w:rsidR="003C7EDD">
        <w:rPr>
          <w:rFonts w:ascii="Times New Roman" w:hAnsi="Times New Roman" w:cs="Times New Roman"/>
          <w:sz w:val="24"/>
          <w:szCs w:val="24"/>
          <w:lang w:val="en-GB"/>
        </w:rPr>
        <w:t xml:space="preserve">but for monetary-union membership. </w:t>
      </w:r>
      <w:r>
        <w:rPr>
          <w:rFonts w:ascii="Times New Roman" w:hAnsi="Times New Roman" w:cs="Times New Roman"/>
          <w:sz w:val="24"/>
          <w:szCs w:val="24"/>
          <w:lang w:val="en-GB"/>
        </w:rPr>
        <w:t xml:space="preserve">It is demonstrated that </w:t>
      </w:r>
      <w:r w:rsidR="002E64A0">
        <w:rPr>
          <w:rFonts w:ascii="Times New Roman" w:hAnsi="Times New Roman" w:cs="Times New Roman"/>
          <w:sz w:val="24"/>
          <w:szCs w:val="24"/>
          <w:lang w:val="en-GB"/>
        </w:rPr>
        <w:t xml:space="preserve">pattern </w:t>
      </w:r>
      <w:r w:rsidR="00387469">
        <w:rPr>
          <w:rFonts w:ascii="Times New Roman" w:hAnsi="Times New Roman" w:cs="Times New Roman"/>
          <w:sz w:val="24"/>
          <w:szCs w:val="24"/>
          <w:lang w:val="en-GB"/>
        </w:rPr>
        <w:t>setting with mimicking of the leade</w:t>
      </w:r>
      <w:r w:rsidR="00C1318F">
        <w:rPr>
          <w:rFonts w:ascii="Times New Roman" w:hAnsi="Times New Roman" w:cs="Times New Roman"/>
          <w:sz w:val="24"/>
          <w:szCs w:val="24"/>
          <w:lang w:val="en-GB"/>
        </w:rPr>
        <w:t>r’s wage</w:t>
      </w:r>
      <w:r w:rsidR="00387469">
        <w:rPr>
          <w:rFonts w:ascii="Times New Roman" w:hAnsi="Times New Roman" w:cs="Times New Roman"/>
          <w:sz w:val="24"/>
          <w:szCs w:val="24"/>
          <w:lang w:val="en-GB"/>
        </w:rPr>
        <w:t xml:space="preserve"> </w:t>
      </w:r>
      <w:r w:rsidR="00E74088">
        <w:rPr>
          <w:rFonts w:ascii="Times New Roman" w:hAnsi="Times New Roman" w:cs="Times New Roman"/>
          <w:sz w:val="24"/>
          <w:szCs w:val="24"/>
          <w:lang w:val="en-GB"/>
        </w:rPr>
        <w:t>gives</w:t>
      </w:r>
      <w:r>
        <w:rPr>
          <w:rFonts w:ascii="Times New Roman" w:hAnsi="Times New Roman" w:cs="Times New Roman"/>
          <w:sz w:val="24"/>
          <w:szCs w:val="24"/>
          <w:lang w:val="en-GB"/>
        </w:rPr>
        <w:t xml:space="preserve"> a lower tradables</w:t>
      </w:r>
      <w:r w:rsidR="00E45837">
        <w:rPr>
          <w:rFonts w:ascii="Times New Roman" w:hAnsi="Times New Roman" w:cs="Times New Roman"/>
          <w:sz w:val="24"/>
          <w:szCs w:val="24"/>
          <w:lang w:val="en-GB"/>
        </w:rPr>
        <w:t xml:space="preserve"> </w:t>
      </w:r>
      <w:r>
        <w:rPr>
          <w:rFonts w:ascii="Times New Roman" w:hAnsi="Times New Roman" w:cs="Times New Roman"/>
          <w:sz w:val="24"/>
          <w:szCs w:val="24"/>
          <w:lang w:val="en-GB"/>
        </w:rPr>
        <w:t>sector wage,</w:t>
      </w:r>
      <w:r w:rsidR="00E74088">
        <w:rPr>
          <w:rFonts w:ascii="Times New Roman" w:hAnsi="Times New Roman" w:cs="Times New Roman"/>
          <w:sz w:val="24"/>
          <w:szCs w:val="24"/>
          <w:lang w:val="en-GB"/>
        </w:rPr>
        <w:t xml:space="preserve"> a</w:t>
      </w:r>
      <w:r>
        <w:rPr>
          <w:rFonts w:ascii="Times New Roman" w:hAnsi="Times New Roman" w:cs="Times New Roman"/>
          <w:sz w:val="24"/>
          <w:szCs w:val="24"/>
          <w:lang w:val="en-GB"/>
        </w:rPr>
        <w:t xml:space="preserve"> lower export price, higher</w:t>
      </w:r>
      <w:r w:rsidR="00E74088">
        <w:rPr>
          <w:rFonts w:ascii="Times New Roman" w:hAnsi="Times New Roman" w:cs="Times New Roman"/>
          <w:sz w:val="24"/>
          <w:szCs w:val="24"/>
          <w:lang w:val="en-GB"/>
        </w:rPr>
        <w:t xml:space="preserve"> aggregate</w:t>
      </w:r>
      <w:r>
        <w:rPr>
          <w:rFonts w:ascii="Times New Roman" w:hAnsi="Times New Roman" w:cs="Times New Roman"/>
          <w:sz w:val="24"/>
          <w:szCs w:val="24"/>
          <w:lang w:val="en-GB"/>
        </w:rPr>
        <w:t xml:space="preserve"> employment and higher aggregate welfare than both uncoordinated bargaining and leadership </w:t>
      </w:r>
      <w:r>
        <w:rPr>
          <w:rFonts w:ascii="Times New Roman" w:hAnsi="Times New Roman" w:cs="Times New Roman"/>
          <w:sz w:val="24"/>
          <w:szCs w:val="24"/>
          <w:lang w:val="en-GB"/>
        </w:rPr>
        <w:lastRenderedPageBreak/>
        <w:t xml:space="preserve">in an ordinary Stackelberg game where both unions </w:t>
      </w:r>
      <w:r w:rsidR="00264F3E">
        <w:rPr>
          <w:rFonts w:ascii="Times New Roman" w:hAnsi="Times New Roman" w:cs="Times New Roman"/>
          <w:sz w:val="24"/>
          <w:szCs w:val="24"/>
          <w:lang w:val="en-GB"/>
        </w:rPr>
        <w:t>maximise</w:t>
      </w:r>
      <w:r>
        <w:rPr>
          <w:rFonts w:ascii="Times New Roman" w:hAnsi="Times New Roman" w:cs="Times New Roman"/>
          <w:sz w:val="24"/>
          <w:szCs w:val="24"/>
          <w:lang w:val="en-GB"/>
        </w:rPr>
        <w:t xml:space="preserve"> their welfare functions. </w:t>
      </w:r>
      <w:r w:rsidR="00685260">
        <w:rPr>
          <w:rFonts w:ascii="Times New Roman" w:hAnsi="Times New Roman" w:cs="Times New Roman"/>
          <w:sz w:val="24"/>
          <w:szCs w:val="24"/>
          <w:lang w:val="en-GB"/>
        </w:rPr>
        <w:t>Here</w:t>
      </w:r>
      <w:r w:rsidR="005D0A3D">
        <w:rPr>
          <w:rFonts w:ascii="Times New Roman" w:hAnsi="Times New Roman" w:cs="Times New Roman"/>
          <w:sz w:val="24"/>
          <w:szCs w:val="24"/>
          <w:lang w:val="en-GB"/>
        </w:rPr>
        <w:t xml:space="preserve">, too, </w:t>
      </w:r>
      <w:r>
        <w:rPr>
          <w:rFonts w:ascii="Times New Roman" w:hAnsi="Times New Roman" w:cs="Times New Roman"/>
          <w:sz w:val="24"/>
          <w:szCs w:val="24"/>
          <w:lang w:val="en-GB"/>
        </w:rPr>
        <w:t>it does not matter</w:t>
      </w:r>
      <w:r w:rsidR="005D0A3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which sector is leader and which is follower. </w:t>
      </w:r>
    </w:p>
    <w:p w14:paraId="1B44F03C" w14:textId="30183AA1" w:rsidR="0026267B" w:rsidRDefault="000B5E07" w:rsidP="0026267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addition to </w:t>
      </w:r>
      <w:r w:rsidR="00B500D1">
        <w:rPr>
          <w:rFonts w:ascii="Times New Roman" w:hAnsi="Times New Roman" w:cs="Times New Roman"/>
          <w:sz w:val="24"/>
          <w:szCs w:val="24"/>
          <w:lang w:val="en-GB"/>
        </w:rPr>
        <w:t>treating</w:t>
      </w:r>
      <w:r>
        <w:rPr>
          <w:rFonts w:ascii="Times New Roman" w:hAnsi="Times New Roman" w:cs="Times New Roman"/>
          <w:sz w:val="24"/>
          <w:szCs w:val="24"/>
          <w:lang w:val="en-GB"/>
        </w:rPr>
        <w:t xml:space="preserve"> long-run equilibria, </w:t>
      </w:r>
      <w:r w:rsidR="0026267B">
        <w:rPr>
          <w:rFonts w:ascii="Times New Roman" w:hAnsi="Times New Roman" w:cs="Times New Roman"/>
          <w:sz w:val="24"/>
          <w:szCs w:val="24"/>
          <w:lang w:val="en-GB"/>
        </w:rPr>
        <w:t xml:space="preserve">Juvonen </w:t>
      </w:r>
      <w:r w:rsidR="00A7569E">
        <w:rPr>
          <w:rFonts w:ascii="Times New Roman" w:hAnsi="Times New Roman" w:cs="Times New Roman"/>
          <w:sz w:val="24"/>
          <w:szCs w:val="24"/>
          <w:lang w:val="en-GB"/>
        </w:rPr>
        <w:t xml:space="preserve">also </w:t>
      </w:r>
      <w:r w:rsidR="00B500D1">
        <w:rPr>
          <w:rFonts w:ascii="Times New Roman" w:hAnsi="Times New Roman" w:cs="Times New Roman"/>
          <w:sz w:val="24"/>
          <w:szCs w:val="24"/>
          <w:lang w:val="en-GB"/>
        </w:rPr>
        <w:t>analyses</w:t>
      </w:r>
      <w:r w:rsidR="0026267B">
        <w:rPr>
          <w:rFonts w:ascii="Times New Roman" w:hAnsi="Times New Roman" w:cs="Times New Roman"/>
          <w:sz w:val="24"/>
          <w:szCs w:val="24"/>
          <w:lang w:val="en-GB"/>
        </w:rPr>
        <w:t xml:space="preserve"> </w:t>
      </w:r>
      <w:r w:rsidR="00A7569E">
        <w:rPr>
          <w:rFonts w:ascii="Times New Roman" w:hAnsi="Times New Roman" w:cs="Times New Roman"/>
          <w:sz w:val="24"/>
          <w:szCs w:val="24"/>
          <w:lang w:val="en-GB"/>
        </w:rPr>
        <w:t>adjustment to shocks</w:t>
      </w:r>
      <w:r w:rsidR="0026267B">
        <w:rPr>
          <w:rFonts w:ascii="Times New Roman" w:hAnsi="Times New Roman" w:cs="Times New Roman"/>
          <w:sz w:val="24"/>
          <w:szCs w:val="24"/>
          <w:lang w:val="en-GB"/>
        </w:rPr>
        <w:t xml:space="preserve">. </w:t>
      </w:r>
      <w:r w:rsidR="00C65487">
        <w:rPr>
          <w:rFonts w:ascii="Times New Roman" w:hAnsi="Times New Roman" w:cs="Times New Roman"/>
          <w:sz w:val="24"/>
          <w:szCs w:val="24"/>
          <w:lang w:val="en-GB"/>
        </w:rPr>
        <w:t xml:space="preserve">Then, </w:t>
      </w:r>
      <w:r w:rsidR="00941FC0">
        <w:rPr>
          <w:rFonts w:ascii="Times New Roman" w:hAnsi="Times New Roman" w:cs="Times New Roman"/>
          <w:sz w:val="24"/>
          <w:szCs w:val="24"/>
          <w:lang w:val="en-GB"/>
        </w:rPr>
        <w:t>pattern setting by the tradables sector in the social-norm case</w:t>
      </w:r>
      <w:r w:rsidR="00D57246">
        <w:rPr>
          <w:rFonts w:ascii="Times New Roman" w:hAnsi="Times New Roman" w:cs="Times New Roman"/>
          <w:sz w:val="24"/>
          <w:szCs w:val="24"/>
          <w:lang w:val="en-GB"/>
        </w:rPr>
        <w:t xml:space="preserve"> leads to higher welfare </w:t>
      </w:r>
      <w:r w:rsidR="005613D5">
        <w:rPr>
          <w:rFonts w:ascii="Times New Roman" w:hAnsi="Times New Roman" w:cs="Times New Roman"/>
          <w:sz w:val="24"/>
          <w:szCs w:val="24"/>
          <w:lang w:val="en-GB"/>
        </w:rPr>
        <w:t>for workers in this s</w:t>
      </w:r>
      <w:r w:rsidR="00181A7A">
        <w:rPr>
          <w:rFonts w:ascii="Times New Roman" w:hAnsi="Times New Roman" w:cs="Times New Roman"/>
          <w:sz w:val="24"/>
          <w:szCs w:val="24"/>
          <w:lang w:val="en-GB"/>
        </w:rPr>
        <w:t>ector</w:t>
      </w:r>
      <w:r w:rsidR="00BC609E">
        <w:rPr>
          <w:rFonts w:ascii="Times New Roman" w:hAnsi="Times New Roman" w:cs="Times New Roman"/>
          <w:sz w:val="24"/>
          <w:szCs w:val="24"/>
          <w:lang w:val="en-GB"/>
        </w:rPr>
        <w:t xml:space="preserve"> than uncoordinated wage setting</w:t>
      </w:r>
      <w:r w:rsidR="00181A7A">
        <w:rPr>
          <w:rFonts w:ascii="Times New Roman" w:hAnsi="Times New Roman" w:cs="Times New Roman"/>
          <w:sz w:val="24"/>
          <w:szCs w:val="24"/>
          <w:lang w:val="en-GB"/>
        </w:rPr>
        <w:t>, but this</w:t>
      </w:r>
      <w:r w:rsidR="009E0EE5">
        <w:rPr>
          <w:rFonts w:ascii="Times New Roman" w:hAnsi="Times New Roman" w:cs="Times New Roman"/>
          <w:sz w:val="24"/>
          <w:szCs w:val="24"/>
          <w:lang w:val="en-GB"/>
        </w:rPr>
        <w:t xml:space="preserve"> effect</w:t>
      </w:r>
      <w:r w:rsidR="00181A7A">
        <w:rPr>
          <w:rFonts w:ascii="Times New Roman" w:hAnsi="Times New Roman" w:cs="Times New Roman"/>
          <w:sz w:val="24"/>
          <w:szCs w:val="24"/>
          <w:lang w:val="en-GB"/>
        </w:rPr>
        <w:t xml:space="preserve"> is </w:t>
      </w:r>
      <w:r w:rsidR="00511D6B">
        <w:rPr>
          <w:rFonts w:ascii="Times New Roman" w:hAnsi="Times New Roman" w:cs="Times New Roman"/>
          <w:sz w:val="24"/>
          <w:szCs w:val="24"/>
          <w:lang w:val="en-GB"/>
        </w:rPr>
        <w:t xml:space="preserve">dominated by </w:t>
      </w:r>
      <w:r w:rsidR="00D03483">
        <w:rPr>
          <w:rFonts w:ascii="Times New Roman" w:hAnsi="Times New Roman" w:cs="Times New Roman"/>
          <w:sz w:val="24"/>
          <w:szCs w:val="24"/>
          <w:lang w:val="en-GB"/>
        </w:rPr>
        <w:t>lower welfare for workers in the non-tradables sector</w:t>
      </w:r>
      <w:r w:rsidR="009E0EE5">
        <w:rPr>
          <w:rFonts w:ascii="Times New Roman" w:hAnsi="Times New Roman" w:cs="Times New Roman"/>
          <w:sz w:val="24"/>
          <w:szCs w:val="24"/>
          <w:lang w:val="en-GB"/>
        </w:rPr>
        <w:t xml:space="preserve"> (which is</w:t>
      </w:r>
      <w:r w:rsidR="007B59E0">
        <w:rPr>
          <w:rFonts w:ascii="Times New Roman" w:hAnsi="Times New Roman" w:cs="Times New Roman"/>
          <w:sz w:val="24"/>
          <w:szCs w:val="24"/>
          <w:lang w:val="en-GB"/>
        </w:rPr>
        <w:t xml:space="preserve"> the</w:t>
      </w:r>
      <w:r w:rsidR="009E0EE5">
        <w:rPr>
          <w:rFonts w:ascii="Times New Roman" w:hAnsi="Times New Roman" w:cs="Times New Roman"/>
          <w:sz w:val="24"/>
          <w:szCs w:val="24"/>
          <w:lang w:val="en-GB"/>
        </w:rPr>
        <w:t xml:space="preserve"> larger</w:t>
      </w:r>
      <w:r w:rsidR="007B59E0">
        <w:rPr>
          <w:rFonts w:ascii="Times New Roman" w:hAnsi="Times New Roman" w:cs="Times New Roman"/>
          <w:sz w:val="24"/>
          <w:szCs w:val="24"/>
          <w:lang w:val="en-GB"/>
        </w:rPr>
        <w:t xml:space="preserve"> one</w:t>
      </w:r>
      <w:r w:rsidR="004438D4">
        <w:rPr>
          <w:rFonts w:ascii="Times New Roman" w:hAnsi="Times New Roman" w:cs="Times New Roman"/>
          <w:sz w:val="24"/>
          <w:szCs w:val="24"/>
          <w:lang w:val="en-GB"/>
        </w:rPr>
        <w:t xml:space="preserve"> in his calibration</w:t>
      </w:r>
      <w:r w:rsidR="009E0EE5">
        <w:rPr>
          <w:rFonts w:ascii="Times New Roman" w:hAnsi="Times New Roman" w:cs="Times New Roman"/>
          <w:sz w:val="24"/>
          <w:szCs w:val="24"/>
          <w:lang w:val="en-GB"/>
        </w:rPr>
        <w:t>)</w:t>
      </w:r>
      <w:r w:rsidR="00876F1F">
        <w:rPr>
          <w:rFonts w:ascii="Times New Roman" w:hAnsi="Times New Roman" w:cs="Times New Roman"/>
          <w:sz w:val="24"/>
          <w:szCs w:val="24"/>
          <w:lang w:val="en-GB"/>
        </w:rPr>
        <w:t>,</w:t>
      </w:r>
      <w:r w:rsidR="00876F1F">
        <w:rPr>
          <w:rStyle w:val="FootnoteReference"/>
          <w:rFonts w:ascii="Times New Roman" w:hAnsi="Times New Roman" w:cs="Times New Roman"/>
          <w:sz w:val="24"/>
          <w:szCs w:val="24"/>
          <w:lang w:val="en-GB"/>
        </w:rPr>
        <w:footnoteReference w:id="32"/>
      </w:r>
      <w:r w:rsidR="007B59E0">
        <w:rPr>
          <w:rFonts w:ascii="Times New Roman" w:hAnsi="Times New Roman" w:cs="Times New Roman"/>
          <w:sz w:val="24"/>
          <w:szCs w:val="24"/>
          <w:lang w:val="en-GB"/>
        </w:rPr>
        <w:t xml:space="preserve"> so that aggregate welfare falls.</w:t>
      </w:r>
      <w:r w:rsidR="009E0EE5">
        <w:rPr>
          <w:rFonts w:ascii="Times New Roman" w:hAnsi="Times New Roman" w:cs="Times New Roman"/>
          <w:sz w:val="24"/>
          <w:szCs w:val="24"/>
          <w:lang w:val="en-GB"/>
        </w:rPr>
        <w:t xml:space="preserve"> </w:t>
      </w:r>
      <w:r w:rsidR="008E046E">
        <w:rPr>
          <w:rFonts w:ascii="Times New Roman" w:hAnsi="Times New Roman" w:cs="Times New Roman"/>
          <w:sz w:val="24"/>
          <w:szCs w:val="24"/>
          <w:lang w:val="en-GB"/>
        </w:rPr>
        <w:t xml:space="preserve">The reason is that the </w:t>
      </w:r>
      <w:r w:rsidR="0026267B">
        <w:rPr>
          <w:rFonts w:ascii="Times New Roman" w:hAnsi="Times New Roman" w:cs="Times New Roman"/>
          <w:sz w:val="24"/>
          <w:szCs w:val="24"/>
          <w:lang w:val="en-GB"/>
        </w:rPr>
        <w:t>wage</w:t>
      </w:r>
      <w:r w:rsidR="00BF67AE">
        <w:rPr>
          <w:rFonts w:ascii="Times New Roman" w:hAnsi="Times New Roman" w:cs="Times New Roman"/>
          <w:sz w:val="24"/>
          <w:szCs w:val="24"/>
          <w:lang w:val="en-GB"/>
        </w:rPr>
        <w:t xml:space="preserve"> in the nontradables sector</w:t>
      </w:r>
      <w:r w:rsidR="0026267B">
        <w:rPr>
          <w:rFonts w:ascii="Times New Roman" w:hAnsi="Times New Roman" w:cs="Times New Roman"/>
          <w:sz w:val="24"/>
          <w:szCs w:val="24"/>
          <w:lang w:val="en-GB"/>
        </w:rPr>
        <w:t xml:space="preserve"> is less aligned to the situation </w:t>
      </w:r>
      <w:r w:rsidR="00BF67AE">
        <w:rPr>
          <w:rFonts w:ascii="Times New Roman" w:hAnsi="Times New Roman" w:cs="Times New Roman"/>
          <w:sz w:val="24"/>
          <w:szCs w:val="24"/>
          <w:lang w:val="en-GB"/>
        </w:rPr>
        <w:t>there</w:t>
      </w:r>
      <w:r w:rsidR="0026267B">
        <w:rPr>
          <w:rFonts w:ascii="Times New Roman" w:hAnsi="Times New Roman" w:cs="Times New Roman"/>
          <w:sz w:val="24"/>
          <w:szCs w:val="24"/>
          <w:lang w:val="en-GB"/>
        </w:rPr>
        <w:t xml:space="preserve"> if it </w:t>
      </w:r>
      <w:r w:rsidR="0061379A">
        <w:rPr>
          <w:rFonts w:ascii="Times New Roman" w:hAnsi="Times New Roman" w:cs="Times New Roman"/>
          <w:sz w:val="24"/>
          <w:szCs w:val="24"/>
          <w:lang w:val="en-GB"/>
        </w:rPr>
        <w:t>must</w:t>
      </w:r>
      <w:r w:rsidR="0026267B">
        <w:rPr>
          <w:rFonts w:ascii="Times New Roman" w:hAnsi="Times New Roman" w:cs="Times New Roman"/>
          <w:sz w:val="24"/>
          <w:szCs w:val="24"/>
          <w:lang w:val="en-GB"/>
        </w:rPr>
        <w:t xml:space="preserve"> follow the tradables sector wage, which prevents desirable sector-specific adjustment. </w:t>
      </w:r>
    </w:p>
    <w:p w14:paraId="45E1B482" w14:textId="0BD10833" w:rsidR="00914D40" w:rsidRPr="00242B6E" w:rsidRDefault="003B732E" w:rsidP="002D4F3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When referring</w:t>
      </w:r>
      <w:r w:rsidR="00E0723F">
        <w:rPr>
          <w:rFonts w:ascii="Times New Roman" w:hAnsi="Times New Roman" w:cs="Times New Roman"/>
          <w:sz w:val="24"/>
          <w:szCs w:val="24"/>
          <w:lang w:val="en-GB"/>
        </w:rPr>
        <w:t xml:space="preserve"> to a social norm </w:t>
      </w:r>
      <w:r w:rsidR="004048A2">
        <w:rPr>
          <w:rFonts w:ascii="Times New Roman" w:hAnsi="Times New Roman" w:cs="Times New Roman"/>
          <w:sz w:val="24"/>
          <w:szCs w:val="24"/>
          <w:lang w:val="en-GB"/>
        </w:rPr>
        <w:t xml:space="preserve">in order to </w:t>
      </w:r>
      <w:r w:rsidR="009E22FA">
        <w:rPr>
          <w:rFonts w:ascii="Times New Roman" w:hAnsi="Times New Roman" w:cs="Times New Roman"/>
          <w:sz w:val="24"/>
          <w:szCs w:val="24"/>
          <w:lang w:val="en-GB"/>
        </w:rPr>
        <w:t>motivate</w:t>
      </w:r>
      <w:r w:rsidR="004048A2">
        <w:rPr>
          <w:rFonts w:ascii="Times New Roman" w:hAnsi="Times New Roman" w:cs="Times New Roman"/>
          <w:sz w:val="24"/>
          <w:szCs w:val="24"/>
          <w:lang w:val="en-GB"/>
        </w:rPr>
        <w:t xml:space="preserve"> why followers</w:t>
      </w:r>
      <w:r w:rsidR="00782DBE">
        <w:rPr>
          <w:rFonts w:ascii="Times New Roman" w:hAnsi="Times New Roman" w:cs="Times New Roman"/>
          <w:sz w:val="24"/>
          <w:szCs w:val="24"/>
          <w:lang w:val="en-GB"/>
        </w:rPr>
        <w:t xml:space="preserve"> choose the same wage </w:t>
      </w:r>
      <w:r w:rsidR="008964D5">
        <w:rPr>
          <w:rFonts w:ascii="Times New Roman" w:hAnsi="Times New Roman" w:cs="Times New Roman"/>
          <w:sz w:val="24"/>
          <w:szCs w:val="24"/>
          <w:lang w:val="en-GB"/>
        </w:rPr>
        <w:t>(</w:t>
      </w:r>
      <w:r w:rsidR="00782DBE">
        <w:rPr>
          <w:rFonts w:ascii="Times New Roman" w:hAnsi="Times New Roman" w:cs="Times New Roman"/>
          <w:sz w:val="24"/>
          <w:szCs w:val="24"/>
          <w:lang w:val="en-GB"/>
        </w:rPr>
        <w:t>increases</w:t>
      </w:r>
      <w:r w:rsidR="008964D5">
        <w:rPr>
          <w:rFonts w:ascii="Times New Roman" w:hAnsi="Times New Roman" w:cs="Times New Roman"/>
          <w:sz w:val="24"/>
          <w:szCs w:val="24"/>
          <w:lang w:val="en-GB"/>
        </w:rPr>
        <w:t>)</w:t>
      </w:r>
      <w:r w:rsidR="00782DBE">
        <w:rPr>
          <w:rFonts w:ascii="Times New Roman" w:hAnsi="Times New Roman" w:cs="Times New Roman"/>
          <w:sz w:val="24"/>
          <w:szCs w:val="24"/>
          <w:lang w:val="en-GB"/>
        </w:rPr>
        <w:t xml:space="preserve"> as the leader, one would like to</w:t>
      </w:r>
      <w:r w:rsidR="009E22FA">
        <w:rPr>
          <w:rFonts w:ascii="Times New Roman" w:hAnsi="Times New Roman" w:cs="Times New Roman"/>
          <w:sz w:val="24"/>
          <w:szCs w:val="24"/>
          <w:lang w:val="en-GB"/>
        </w:rPr>
        <w:t xml:space="preserve"> explain why </w:t>
      </w:r>
      <w:r w:rsidR="00364B0B">
        <w:rPr>
          <w:rFonts w:ascii="Times New Roman" w:hAnsi="Times New Roman" w:cs="Times New Roman"/>
          <w:sz w:val="24"/>
          <w:szCs w:val="24"/>
          <w:lang w:val="en-GB"/>
        </w:rPr>
        <w:t xml:space="preserve">such a </w:t>
      </w:r>
      <w:r w:rsidR="009E22FA">
        <w:rPr>
          <w:rFonts w:ascii="Times New Roman" w:hAnsi="Times New Roman" w:cs="Times New Roman"/>
          <w:sz w:val="24"/>
          <w:szCs w:val="24"/>
          <w:lang w:val="en-GB"/>
        </w:rPr>
        <w:t xml:space="preserve">norm was </w:t>
      </w:r>
      <w:r w:rsidR="00594746">
        <w:rPr>
          <w:rFonts w:ascii="Times New Roman" w:hAnsi="Times New Roman" w:cs="Times New Roman"/>
          <w:sz w:val="24"/>
          <w:szCs w:val="24"/>
          <w:lang w:val="en-GB"/>
        </w:rPr>
        <w:t xml:space="preserve">established in the first place and why it is </w:t>
      </w:r>
      <w:r w:rsidR="007A76BB">
        <w:rPr>
          <w:rFonts w:ascii="Times New Roman" w:hAnsi="Times New Roman" w:cs="Times New Roman"/>
          <w:sz w:val="24"/>
          <w:szCs w:val="24"/>
          <w:lang w:val="en-GB"/>
        </w:rPr>
        <w:t>followed</w:t>
      </w:r>
      <w:r w:rsidR="00594746">
        <w:rPr>
          <w:rFonts w:ascii="Times New Roman" w:hAnsi="Times New Roman" w:cs="Times New Roman"/>
          <w:sz w:val="24"/>
          <w:szCs w:val="24"/>
          <w:lang w:val="en-GB"/>
        </w:rPr>
        <w:t xml:space="preserve">. </w:t>
      </w:r>
      <w:r w:rsidR="006F2C4C">
        <w:rPr>
          <w:rFonts w:ascii="Times New Roman" w:hAnsi="Times New Roman" w:cs="Times New Roman"/>
          <w:sz w:val="24"/>
          <w:szCs w:val="24"/>
          <w:lang w:val="en-GB"/>
        </w:rPr>
        <w:t>There</w:t>
      </w:r>
      <w:r w:rsidR="00CD0AF0">
        <w:rPr>
          <w:rFonts w:ascii="Times New Roman" w:hAnsi="Times New Roman" w:cs="Times New Roman"/>
          <w:sz w:val="24"/>
          <w:szCs w:val="24"/>
          <w:lang w:val="en-GB"/>
        </w:rPr>
        <w:t xml:space="preserve"> must be </w:t>
      </w:r>
      <w:r w:rsidR="0087255D">
        <w:rPr>
          <w:rFonts w:ascii="Times New Roman" w:hAnsi="Times New Roman" w:cs="Times New Roman"/>
          <w:sz w:val="24"/>
          <w:szCs w:val="24"/>
          <w:lang w:val="en-GB"/>
        </w:rPr>
        <w:t xml:space="preserve">such a large utility cost for the follower </w:t>
      </w:r>
      <w:r w:rsidR="007D1971">
        <w:rPr>
          <w:rFonts w:ascii="Times New Roman" w:hAnsi="Times New Roman" w:cs="Times New Roman"/>
          <w:sz w:val="24"/>
          <w:szCs w:val="24"/>
          <w:lang w:val="en-GB"/>
        </w:rPr>
        <w:t xml:space="preserve">of deviating </w:t>
      </w:r>
      <w:r w:rsidR="00E2531C">
        <w:rPr>
          <w:rFonts w:ascii="Times New Roman" w:hAnsi="Times New Roman" w:cs="Times New Roman"/>
          <w:sz w:val="24"/>
          <w:szCs w:val="24"/>
          <w:lang w:val="en-GB"/>
        </w:rPr>
        <w:t xml:space="preserve">that </w:t>
      </w:r>
      <w:r w:rsidR="001D03B8">
        <w:rPr>
          <w:rFonts w:ascii="Times New Roman" w:hAnsi="Times New Roman" w:cs="Times New Roman"/>
          <w:sz w:val="24"/>
          <w:szCs w:val="24"/>
          <w:lang w:val="en-GB"/>
        </w:rPr>
        <w:t xml:space="preserve">she chooses </w:t>
      </w:r>
      <w:r w:rsidR="003B0818">
        <w:rPr>
          <w:rFonts w:ascii="Times New Roman" w:hAnsi="Times New Roman" w:cs="Times New Roman"/>
          <w:sz w:val="24"/>
          <w:szCs w:val="24"/>
          <w:lang w:val="en-GB"/>
        </w:rPr>
        <w:t xml:space="preserve">not to maximise </w:t>
      </w:r>
      <w:r w:rsidR="00C059D9">
        <w:rPr>
          <w:rFonts w:ascii="Times New Roman" w:hAnsi="Times New Roman" w:cs="Times New Roman"/>
          <w:sz w:val="24"/>
          <w:szCs w:val="24"/>
          <w:lang w:val="en-GB"/>
        </w:rPr>
        <w:t>her</w:t>
      </w:r>
      <w:r w:rsidR="003B0818">
        <w:rPr>
          <w:rFonts w:ascii="Times New Roman" w:hAnsi="Times New Roman" w:cs="Times New Roman"/>
          <w:sz w:val="24"/>
          <w:szCs w:val="24"/>
          <w:lang w:val="en-GB"/>
        </w:rPr>
        <w:t xml:space="preserve"> </w:t>
      </w:r>
      <w:r w:rsidR="00C059D9">
        <w:rPr>
          <w:rFonts w:ascii="Times New Roman" w:hAnsi="Times New Roman" w:cs="Times New Roman"/>
          <w:sz w:val="24"/>
          <w:szCs w:val="24"/>
          <w:lang w:val="en-GB"/>
        </w:rPr>
        <w:t>“</w:t>
      </w:r>
      <w:r w:rsidR="003B0818">
        <w:rPr>
          <w:rFonts w:ascii="Times New Roman" w:hAnsi="Times New Roman" w:cs="Times New Roman"/>
          <w:sz w:val="24"/>
          <w:szCs w:val="24"/>
          <w:lang w:val="en-GB"/>
        </w:rPr>
        <w:t>ordinary</w:t>
      </w:r>
      <w:r w:rsidR="00C059D9">
        <w:rPr>
          <w:rFonts w:ascii="Times New Roman" w:hAnsi="Times New Roman" w:cs="Times New Roman"/>
          <w:sz w:val="24"/>
          <w:szCs w:val="24"/>
          <w:lang w:val="en-GB"/>
        </w:rPr>
        <w:t>”</w:t>
      </w:r>
      <w:r w:rsidR="003B0818">
        <w:rPr>
          <w:rFonts w:ascii="Times New Roman" w:hAnsi="Times New Roman" w:cs="Times New Roman"/>
          <w:sz w:val="24"/>
          <w:szCs w:val="24"/>
          <w:lang w:val="en-GB"/>
        </w:rPr>
        <w:t xml:space="preserve"> </w:t>
      </w:r>
      <w:r w:rsidR="00FA781E">
        <w:rPr>
          <w:rFonts w:ascii="Times New Roman" w:hAnsi="Times New Roman" w:cs="Times New Roman"/>
          <w:sz w:val="24"/>
          <w:szCs w:val="24"/>
          <w:lang w:val="en-GB"/>
        </w:rPr>
        <w:t xml:space="preserve">utility function </w:t>
      </w:r>
      <w:r w:rsidR="00C059D9">
        <w:rPr>
          <w:rFonts w:ascii="Times New Roman" w:hAnsi="Times New Roman" w:cs="Times New Roman"/>
          <w:sz w:val="24"/>
          <w:szCs w:val="24"/>
          <w:lang w:val="en-GB"/>
        </w:rPr>
        <w:t xml:space="preserve">(excluding </w:t>
      </w:r>
      <w:r w:rsidR="00364B0B">
        <w:rPr>
          <w:rFonts w:ascii="Times New Roman" w:hAnsi="Times New Roman" w:cs="Times New Roman"/>
          <w:sz w:val="24"/>
          <w:szCs w:val="24"/>
          <w:lang w:val="en-GB"/>
        </w:rPr>
        <w:t>this</w:t>
      </w:r>
      <w:r w:rsidR="00C059D9">
        <w:rPr>
          <w:rFonts w:ascii="Times New Roman" w:hAnsi="Times New Roman" w:cs="Times New Roman"/>
          <w:sz w:val="24"/>
          <w:szCs w:val="24"/>
          <w:lang w:val="en-GB"/>
        </w:rPr>
        <w:t xml:space="preserve"> cost)</w:t>
      </w:r>
      <w:r w:rsidR="00FA781E">
        <w:rPr>
          <w:rFonts w:ascii="Times New Roman" w:hAnsi="Times New Roman" w:cs="Times New Roman"/>
          <w:sz w:val="24"/>
          <w:szCs w:val="24"/>
          <w:lang w:val="en-GB"/>
        </w:rPr>
        <w:t xml:space="preserve">. </w:t>
      </w:r>
      <w:r w:rsidR="005B027F">
        <w:rPr>
          <w:rFonts w:ascii="Times New Roman" w:hAnsi="Times New Roman" w:cs="Times New Roman"/>
          <w:sz w:val="24"/>
          <w:szCs w:val="24"/>
          <w:lang w:val="en-GB"/>
        </w:rPr>
        <w:t>It</w:t>
      </w:r>
      <w:r w:rsidR="00987886">
        <w:rPr>
          <w:rFonts w:ascii="Times New Roman" w:hAnsi="Times New Roman" w:cs="Times New Roman"/>
          <w:sz w:val="24"/>
          <w:szCs w:val="24"/>
          <w:lang w:val="en-GB"/>
        </w:rPr>
        <w:t xml:space="preserve"> could be loss of reputation because of shaming or </w:t>
      </w:r>
      <w:r w:rsidR="00311F0E">
        <w:rPr>
          <w:rFonts w:ascii="Times New Roman" w:hAnsi="Times New Roman" w:cs="Times New Roman"/>
          <w:sz w:val="24"/>
          <w:szCs w:val="24"/>
          <w:lang w:val="en-GB"/>
        </w:rPr>
        <w:t xml:space="preserve">punishment of the </w:t>
      </w:r>
      <w:r w:rsidR="00F85F89">
        <w:rPr>
          <w:rFonts w:ascii="Times New Roman" w:hAnsi="Times New Roman" w:cs="Times New Roman"/>
          <w:sz w:val="24"/>
          <w:szCs w:val="24"/>
          <w:lang w:val="en-GB"/>
        </w:rPr>
        <w:t xml:space="preserve">deviating union or employers’ association </w:t>
      </w:r>
      <w:r w:rsidR="005B027F">
        <w:rPr>
          <w:rFonts w:ascii="Times New Roman" w:hAnsi="Times New Roman" w:cs="Times New Roman"/>
          <w:sz w:val="24"/>
          <w:szCs w:val="24"/>
          <w:lang w:val="en-GB"/>
        </w:rPr>
        <w:t xml:space="preserve">as well as </w:t>
      </w:r>
      <w:r w:rsidR="009263C9">
        <w:rPr>
          <w:rFonts w:ascii="Times New Roman" w:hAnsi="Times New Roman" w:cs="Times New Roman"/>
          <w:sz w:val="24"/>
          <w:szCs w:val="24"/>
          <w:lang w:val="en-GB"/>
        </w:rPr>
        <w:t>their</w:t>
      </w:r>
      <w:r w:rsidR="00252FCD">
        <w:rPr>
          <w:rFonts w:ascii="Times New Roman" w:hAnsi="Times New Roman" w:cs="Times New Roman"/>
          <w:sz w:val="24"/>
          <w:szCs w:val="24"/>
          <w:lang w:val="en-GB"/>
        </w:rPr>
        <w:t xml:space="preserve"> officials in ot</w:t>
      </w:r>
      <w:r w:rsidR="008D174A">
        <w:rPr>
          <w:rFonts w:ascii="Times New Roman" w:hAnsi="Times New Roman" w:cs="Times New Roman"/>
          <w:sz w:val="24"/>
          <w:szCs w:val="24"/>
          <w:lang w:val="en-GB"/>
        </w:rPr>
        <w:t>her</w:t>
      </w:r>
      <w:r w:rsidR="00252FCD">
        <w:rPr>
          <w:rFonts w:ascii="Times New Roman" w:hAnsi="Times New Roman" w:cs="Times New Roman"/>
          <w:sz w:val="24"/>
          <w:szCs w:val="24"/>
          <w:lang w:val="en-GB"/>
        </w:rPr>
        <w:t xml:space="preserve"> arenas than wage setting</w:t>
      </w:r>
      <w:r w:rsidR="00496112">
        <w:rPr>
          <w:rFonts w:ascii="Times New Roman" w:hAnsi="Times New Roman" w:cs="Times New Roman"/>
          <w:sz w:val="24"/>
          <w:szCs w:val="24"/>
          <w:lang w:val="en-GB"/>
        </w:rPr>
        <w:t>.</w:t>
      </w:r>
      <w:r w:rsidR="00E52544">
        <w:rPr>
          <w:rStyle w:val="FootnoteReference"/>
          <w:rFonts w:ascii="Times New Roman" w:hAnsi="Times New Roman" w:cs="Times New Roman"/>
          <w:sz w:val="24"/>
          <w:szCs w:val="24"/>
          <w:lang w:val="en-GB"/>
        </w:rPr>
        <w:footnoteReference w:id="33"/>
      </w:r>
      <w:r w:rsidR="00496112">
        <w:rPr>
          <w:rFonts w:ascii="Times New Roman" w:hAnsi="Times New Roman" w:cs="Times New Roman"/>
          <w:sz w:val="24"/>
          <w:szCs w:val="24"/>
          <w:lang w:val="en-GB"/>
        </w:rPr>
        <w:t xml:space="preserve"> </w:t>
      </w:r>
    </w:p>
    <w:p w14:paraId="3CF59F35" w14:textId="5CF91BA2" w:rsidR="003B100A" w:rsidRDefault="006116A2" w:rsidP="002D4F3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Calmfors and Seim (2013) </w:t>
      </w:r>
      <w:r w:rsidR="00DA1022">
        <w:rPr>
          <w:rFonts w:ascii="Times New Roman" w:hAnsi="Times New Roman" w:cs="Times New Roman"/>
          <w:sz w:val="24"/>
          <w:szCs w:val="24"/>
          <w:lang w:val="en-GB"/>
        </w:rPr>
        <w:t>explain</w:t>
      </w:r>
      <w:r w:rsidR="007A75C0">
        <w:rPr>
          <w:rFonts w:ascii="Times New Roman" w:hAnsi="Times New Roman" w:cs="Times New Roman"/>
          <w:sz w:val="24"/>
          <w:szCs w:val="24"/>
          <w:lang w:val="en-GB"/>
        </w:rPr>
        <w:t xml:space="preserve"> why </w:t>
      </w:r>
      <w:r w:rsidR="008D174A">
        <w:rPr>
          <w:rFonts w:ascii="Times New Roman" w:hAnsi="Times New Roman" w:cs="Times New Roman"/>
          <w:sz w:val="24"/>
          <w:szCs w:val="24"/>
          <w:lang w:val="en-GB"/>
        </w:rPr>
        <w:t>it may be in the interest of</w:t>
      </w:r>
      <w:r w:rsidR="0001652A">
        <w:rPr>
          <w:rFonts w:ascii="Times New Roman" w:hAnsi="Times New Roman" w:cs="Times New Roman"/>
          <w:sz w:val="24"/>
          <w:szCs w:val="24"/>
          <w:lang w:val="en-GB"/>
        </w:rPr>
        <w:t xml:space="preserve"> </w:t>
      </w:r>
      <w:r w:rsidR="00631048">
        <w:rPr>
          <w:rFonts w:ascii="Times New Roman" w:hAnsi="Times New Roman" w:cs="Times New Roman"/>
          <w:sz w:val="24"/>
          <w:szCs w:val="24"/>
          <w:lang w:val="en-GB"/>
        </w:rPr>
        <w:t xml:space="preserve">a </w:t>
      </w:r>
      <w:r w:rsidR="0001652A">
        <w:rPr>
          <w:rFonts w:ascii="Times New Roman" w:hAnsi="Times New Roman" w:cs="Times New Roman"/>
          <w:sz w:val="24"/>
          <w:szCs w:val="24"/>
          <w:lang w:val="en-GB"/>
        </w:rPr>
        <w:t>follower</w:t>
      </w:r>
      <w:r w:rsidR="00C53752">
        <w:rPr>
          <w:rFonts w:ascii="Times New Roman" w:hAnsi="Times New Roman" w:cs="Times New Roman"/>
          <w:sz w:val="24"/>
          <w:szCs w:val="24"/>
          <w:lang w:val="en-GB"/>
        </w:rPr>
        <w:t xml:space="preserve"> </w:t>
      </w:r>
      <w:r w:rsidR="008D174A">
        <w:rPr>
          <w:rFonts w:ascii="Times New Roman" w:hAnsi="Times New Roman" w:cs="Times New Roman"/>
          <w:sz w:val="24"/>
          <w:szCs w:val="24"/>
          <w:lang w:val="en-GB"/>
        </w:rPr>
        <w:t xml:space="preserve">to </w:t>
      </w:r>
      <w:r w:rsidR="000B56F4">
        <w:rPr>
          <w:rFonts w:ascii="Times New Roman" w:hAnsi="Times New Roman" w:cs="Times New Roman"/>
          <w:sz w:val="24"/>
          <w:szCs w:val="24"/>
          <w:lang w:val="en-GB"/>
        </w:rPr>
        <w:t>choose</w:t>
      </w:r>
      <w:r w:rsidR="00C53752">
        <w:rPr>
          <w:rFonts w:ascii="Times New Roman" w:hAnsi="Times New Roman" w:cs="Times New Roman"/>
          <w:sz w:val="24"/>
          <w:szCs w:val="24"/>
          <w:lang w:val="en-GB"/>
        </w:rPr>
        <w:t xml:space="preserve"> </w:t>
      </w:r>
      <w:r w:rsidR="008340CB">
        <w:rPr>
          <w:rFonts w:ascii="Times New Roman" w:hAnsi="Times New Roman" w:cs="Times New Roman"/>
          <w:sz w:val="24"/>
          <w:szCs w:val="24"/>
          <w:lang w:val="en-GB"/>
        </w:rPr>
        <w:t>the same</w:t>
      </w:r>
      <w:r w:rsidR="00242B6E">
        <w:rPr>
          <w:rFonts w:ascii="Times New Roman" w:hAnsi="Times New Roman" w:cs="Times New Roman"/>
          <w:sz w:val="24"/>
          <w:szCs w:val="24"/>
          <w:lang w:val="en-GB"/>
        </w:rPr>
        <w:t xml:space="preserve"> </w:t>
      </w:r>
      <w:r w:rsidR="008630A0">
        <w:rPr>
          <w:rFonts w:ascii="Times New Roman" w:hAnsi="Times New Roman" w:cs="Times New Roman"/>
          <w:sz w:val="24"/>
          <w:szCs w:val="24"/>
          <w:lang w:val="en-GB"/>
        </w:rPr>
        <w:t xml:space="preserve">wage </w:t>
      </w:r>
      <w:r w:rsidR="008D174A">
        <w:rPr>
          <w:rFonts w:ascii="Times New Roman" w:hAnsi="Times New Roman" w:cs="Times New Roman"/>
          <w:sz w:val="24"/>
          <w:szCs w:val="24"/>
          <w:lang w:val="en-GB"/>
        </w:rPr>
        <w:t>(</w:t>
      </w:r>
      <w:r w:rsidR="008630A0">
        <w:rPr>
          <w:rFonts w:ascii="Times New Roman" w:hAnsi="Times New Roman" w:cs="Times New Roman"/>
          <w:sz w:val="24"/>
          <w:szCs w:val="24"/>
          <w:lang w:val="en-GB"/>
        </w:rPr>
        <w:t>increase</w:t>
      </w:r>
      <w:r w:rsidR="008D174A">
        <w:rPr>
          <w:rFonts w:ascii="Times New Roman" w:hAnsi="Times New Roman" w:cs="Times New Roman"/>
          <w:sz w:val="24"/>
          <w:szCs w:val="24"/>
          <w:lang w:val="en-GB"/>
        </w:rPr>
        <w:t>)</w:t>
      </w:r>
      <w:r w:rsidR="008630A0">
        <w:rPr>
          <w:rFonts w:ascii="Times New Roman" w:hAnsi="Times New Roman" w:cs="Times New Roman"/>
          <w:sz w:val="24"/>
          <w:szCs w:val="24"/>
          <w:lang w:val="en-GB"/>
        </w:rPr>
        <w:t xml:space="preserve"> </w:t>
      </w:r>
      <w:r w:rsidR="00E91623">
        <w:rPr>
          <w:rFonts w:ascii="Times New Roman" w:hAnsi="Times New Roman" w:cs="Times New Roman"/>
          <w:sz w:val="24"/>
          <w:szCs w:val="24"/>
          <w:lang w:val="en-GB"/>
        </w:rPr>
        <w:t xml:space="preserve">as </w:t>
      </w:r>
      <w:r w:rsidR="00397E86">
        <w:rPr>
          <w:rFonts w:ascii="Times New Roman" w:hAnsi="Times New Roman" w:cs="Times New Roman"/>
          <w:sz w:val="24"/>
          <w:szCs w:val="24"/>
          <w:lang w:val="en-GB"/>
        </w:rPr>
        <w:t>the leader</w:t>
      </w:r>
      <w:r w:rsidR="008D174A">
        <w:rPr>
          <w:rFonts w:ascii="Times New Roman" w:hAnsi="Times New Roman" w:cs="Times New Roman"/>
          <w:sz w:val="24"/>
          <w:szCs w:val="24"/>
          <w:lang w:val="en-GB"/>
        </w:rPr>
        <w:t xml:space="preserve"> in an ordinary Stackelberg game</w:t>
      </w:r>
      <w:r w:rsidR="00E25ABE">
        <w:rPr>
          <w:rFonts w:ascii="Times New Roman" w:hAnsi="Times New Roman" w:cs="Times New Roman"/>
          <w:sz w:val="24"/>
          <w:szCs w:val="24"/>
          <w:lang w:val="en-GB"/>
        </w:rPr>
        <w:t xml:space="preserve"> without </w:t>
      </w:r>
      <w:r w:rsidR="000B56F4">
        <w:rPr>
          <w:rFonts w:ascii="Times New Roman" w:hAnsi="Times New Roman" w:cs="Times New Roman"/>
          <w:sz w:val="24"/>
          <w:szCs w:val="24"/>
          <w:lang w:val="en-GB"/>
        </w:rPr>
        <w:t>referring</w:t>
      </w:r>
      <w:r w:rsidR="00E25ABE">
        <w:rPr>
          <w:rFonts w:ascii="Times New Roman" w:hAnsi="Times New Roman" w:cs="Times New Roman"/>
          <w:sz w:val="24"/>
          <w:szCs w:val="24"/>
          <w:lang w:val="en-GB"/>
        </w:rPr>
        <w:t xml:space="preserve"> to </w:t>
      </w:r>
      <w:r w:rsidR="000B56F4">
        <w:rPr>
          <w:rFonts w:ascii="Times New Roman" w:hAnsi="Times New Roman" w:cs="Times New Roman"/>
          <w:sz w:val="24"/>
          <w:szCs w:val="24"/>
          <w:lang w:val="en-GB"/>
        </w:rPr>
        <w:t xml:space="preserve">a </w:t>
      </w:r>
      <w:r w:rsidR="00E25ABE">
        <w:rPr>
          <w:rFonts w:ascii="Times New Roman" w:hAnsi="Times New Roman" w:cs="Times New Roman"/>
          <w:sz w:val="24"/>
          <w:szCs w:val="24"/>
          <w:lang w:val="en-GB"/>
        </w:rPr>
        <w:t>social norm</w:t>
      </w:r>
      <w:r w:rsidR="00397E86">
        <w:rPr>
          <w:rFonts w:ascii="Times New Roman" w:hAnsi="Times New Roman" w:cs="Times New Roman"/>
          <w:sz w:val="24"/>
          <w:szCs w:val="24"/>
          <w:lang w:val="en-GB"/>
        </w:rPr>
        <w:t xml:space="preserve">. </w:t>
      </w:r>
      <w:r w:rsidR="004B251E">
        <w:rPr>
          <w:rFonts w:ascii="Times New Roman" w:hAnsi="Times New Roman" w:cs="Times New Roman"/>
          <w:sz w:val="24"/>
          <w:szCs w:val="24"/>
          <w:lang w:val="en-GB"/>
        </w:rPr>
        <w:t xml:space="preserve">The explanation </w:t>
      </w:r>
      <w:r w:rsidR="00B5435F">
        <w:rPr>
          <w:rFonts w:ascii="Times New Roman" w:hAnsi="Times New Roman" w:cs="Times New Roman"/>
          <w:sz w:val="24"/>
          <w:szCs w:val="24"/>
          <w:lang w:val="en-GB"/>
        </w:rPr>
        <w:t>builds on</w:t>
      </w:r>
      <w:r w:rsidR="00810E13">
        <w:rPr>
          <w:rFonts w:ascii="Times New Roman" w:hAnsi="Times New Roman" w:cs="Times New Roman"/>
          <w:sz w:val="24"/>
          <w:szCs w:val="24"/>
          <w:lang w:val="en-GB"/>
        </w:rPr>
        <w:t>: (i)</w:t>
      </w:r>
      <w:r w:rsidR="00B5435F">
        <w:rPr>
          <w:rFonts w:ascii="Times New Roman" w:hAnsi="Times New Roman" w:cs="Times New Roman"/>
          <w:sz w:val="24"/>
          <w:szCs w:val="24"/>
          <w:lang w:val="en-GB"/>
        </w:rPr>
        <w:t xml:space="preserve"> comparison thinking,</w:t>
      </w:r>
      <w:r w:rsidR="00BF2D52">
        <w:rPr>
          <w:rFonts w:ascii="Times New Roman" w:hAnsi="Times New Roman" w:cs="Times New Roman"/>
          <w:sz w:val="24"/>
          <w:szCs w:val="24"/>
          <w:lang w:val="en-GB"/>
        </w:rPr>
        <w:t xml:space="preserve"> i.e. that </w:t>
      </w:r>
      <w:r w:rsidR="00044262">
        <w:rPr>
          <w:rFonts w:ascii="Times New Roman" w:hAnsi="Times New Roman" w:cs="Times New Roman"/>
          <w:sz w:val="24"/>
          <w:szCs w:val="24"/>
          <w:lang w:val="en-GB"/>
        </w:rPr>
        <w:t xml:space="preserve">the utility of </w:t>
      </w:r>
      <w:r w:rsidR="00332BF6">
        <w:rPr>
          <w:rFonts w:ascii="Times New Roman" w:hAnsi="Times New Roman" w:cs="Times New Roman"/>
          <w:sz w:val="24"/>
          <w:szCs w:val="24"/>
          <w:lang w:val="en-GB"/>
        </w:rPr>
        <w:t>employee</w:t>
      </w:r>
      <w:r w:rsidR="00951789">
        <w:rPr>
          <w:rFonts w:ascii="Times New Roman" w:hAnsi="Times New Roman" w:cs="Times New Roman"/>
          <w:sz w:val="24"/>
          <w:szCs w:val="24"/>
          <w:lang w:val="en-GB"/>
        </w:rPr>
        <w:t>s</w:t>
      </w:r>
      <w:r w:rsidR="00332BF6">
        <w:rPr>
          <w:rFonts w:ascii="Times New Roman" w:hAnsi="Times New Roman" w:cs="Times New Roman"/>
          <w:sz w:val="24"/>
          <w:szCs w:val="24"/>
          <w:lang w:val="en-GB"/>
        </w:rPr>
        <w:t xml:space="preserve"> </w:t>
      </w:r>
      <w:r w:rsidR="00044262">
        <w:rPr>
          <w:rFonts w:ascii="Times New Roman" w:hAnsi="Times New Roman" w:cs="Times New Roman"/>
          <w:sz w:val="24"/>
          <w:szCs w:val="24"/>
          <w:lang w:val="en-GB"/>
        </w:rPr>
        <w:t xml:space="preserve">in the follower </w:t>
      </w:r>
      <w:r w:rsidR="008228DA">
        <w:rPr>
          <w:rFonts w:ascii="Times New Roman" w:hAnsi="Times New Roman" w:cs="Times New Roman"/>
          <w:sz w:val="24"/>
          <w:szCs w:val="24"/>
          <w:lang w:val="en-GB"/>
        </w:rPr>
        <w:t>sector depen</w:t>
      </w:r>
      <w:r w:rsidR="00D86A86">
        <w:rPr>
          <w:rFonts w:ascii="Times New Roman" w:hAnsi="Times New Roman" w:cs="Times New Roman"/>
          <w:sz w:val="24"/>
          <w:szCs w:val="24"/>
          <w:lang w:val="en-GB"/>
        </w:rPr>
        <w:t>d</w:t>
      </w:r>
      <w:r w:rsidR="008228DA">
        <w:rPr>
          <w:rFonts w:ascii="Times New Roman" w:hAnsi="Times New Roman" w:cs="Times New Roman"/>
          <w:sz w:val="24"/>
          <w:szCs w:val="24"/>
          <w:lang w:val="en-GB"/>
        </w:rPr>
        <w:t xml:space="preserve">s not only on the purchasing power of </w:t>
      </w:r>
      <w:r w:rsidR="00C93E4A">
        <w:rPr>
          <w:rFonts w:ascii="Times New Roman" w:hAnsi="Times New Roman" w:cs="Times New Roman"/>
          <w:sz w:val="24"/>
          <w:szCs w:val="24"/>
          <w:lang w:val="en-GB"/>
        </w:rPr>
        <w:t>their</w:t>
      </w:r>
      <w:r w:rsidR="00590078">
        <w:rPr>
          <w:rFonts w:ascii="Times New Roman" w:hAnsi="Times New Roman" w:cs="Times New Roman"/>
          <w:sz w:val="24"/>
          <w:szCs w:val="24"/>
          <w:lang w:val="en-GB"/>
        </w:rPr>
        <w:t xml:space="preserve"> wage</w:t>
      </w:r>
      <w:r w:rsidR="00C93E4A">
        <w:rPr>
          <w:rFonts w:ascii="Times New Roman" w:hAnsi="Times New Roman" w:cs="Times New Roman"/>
          <w:sz w:val="24"/>
          <w:szCs w:val="24"/>
          <w:lang w:val="en-GB"/>
        </w:rPr>
        <w:t>s</w:t>
      </w:r>
      <w:r w:rsidR="00590078">
        <w:rPr>
          <w:rFonts w:ascii="Times New Roman" w:hAnsi="Times New Roman" w:cs="Times New Roman"/>
          <w:sz w:val="24"/>
          <w:szCs w:val="24"/>
          <w:lang w:val="en-GB"/>
        </w:rPr>
        <w:t xml:space="preserve"> but also</w:t>
      </w:r>
      <w:r w:rsidR="00F4061D">
        <w:rPr>
          <w:rFonts w:ascii="Times New Roman" w:hAnsi="Times New Roman" w:cs="Times New Roman"/>
          <w:sz w:val="24"/>
          <w:szCs w:val="24"/>
          <w:lang w:val="en-GB"/>
        </w:rPr>
        <w:t xml:space="preserve"> on the </w:t>
      </w:r>
      <w:r w:rsidR="00332BF6">
        <w:rPr>
          <w:rFonts w:ascii="Times New Roman" w:hAnsi="Times New Roman" w:cs="Times New Roman"/>
          <w:sz w:val="24"/>
          <w:szCs w:val="24"/>
          <w:lang w:val="en-GB"/>
        </w:rPr>
        <w:t xml:space="preserve">wage </w:t>
      </w:r>
      <w:r w:rsidR="00CB754E">
        <w:rPr>
          <w:rFonts w:ascii="Times New Roman" w:hAnsi="Times New Roman" w:cs="Times New Roman"/>
          <w:sz w:val="24"/>
          <w:szCs w:val="24"/>
          <w:lang w:val="en-GB"/>
        </w:rPr>
        <w:t>relative to</w:t>
      </w:r>
      <w:r w:rsidR="00332BF6">
        <w:rPr>
          <w:rFonts w:ascii="Times New Roman" w:hAnsi="Times New Roman" w:cs="Times New Roman"/>
          <w:sz w:val="24"/>
          <w:szCs w:val="24"/>
          <w:lang w:val="en-GB"/>
        </w:rPr>
        <w:t xml:space="preserve"> employees in the </w:t>
      </w:r>
      <w:r w:rsidR="00BE406D">
        <w:rPr>
          <w:rFonts w:ascii="Times New Roman" w:hAnsi="Times New Roman" w:cs="Times New Roman"/>
          <w:sz w:val="24"/>
          <w:szCs w:val="24"/>
          <w:lang w:val="en-GB"/>
        </w:rPr>
        <w:t>leader sector; and (ii) loss aversion</w:t>
      </w:r>
      <w:r w:rsidR="00FD27E4">
        <w:rPr>
          <w:rFonts w:ascii="Times New Roman" w:hAnsi="Times New Roman" w:cs="Times New Roman"/>
          <w:sz w:val="24"/>
          <w:szCs w:val="24"/>
          <w:lang w:val="en-GB"/>
        </w:rPr>
        <w:t>,</w:t>
      </w:r>
      <w:r w:rsidR="00BE406D">
        <w:rPr>
          <w:rFonts w:ascii="Times New Roman" w:hAnsi="Times New Roman" w:cs="Times New Roman"/>
          <w:sz w:val="24"/>
          <w:szCs w:val="24"/>
          <w:lang w:val="en-GB"/>
        </w:rPr>
        <w:t xml:space="preserve"> </w:t>
      </w:r>
      <w:r w:rsidR="002C6C6F">
        <w:rPr>
          <w:rFonts w:ascii="Times New Roman" w:hAnsi="Times New Roman" w:cs="Times New Roman"/>
          <w:sz w:val="24"/>
          <w:szCs w:val="24"/>
          <w:lang w:val="en-GB"/>
        </w:rPr>
        <w:t xml:space="preserve">according to which </w:t>
      </w:r>
      <w:r w:rsidR="00BC483D">
        <w:rPr>
          <w:rFonts w:ascii="Times New Roman" w:hAnsi="Times New Roman" w:cs="Times New Roman"/>
          <w:sz w:val="24"/>
          <w:szCs w:val="24"/>
          <w:lang w:val="en-GB"/>
        </w:rPr>
        <w:t xml:space="preserve">a </w:t>
      </w:r>
      <w:r w:rsidR="001601AF">
        <w:rPr>
          <w:rFonts w:ascii="Times New Roman" w:hAnsi="Times New Roman" w:cs="Times New Roman"/>
          <w:sz w:val="24"/>
          <w:szCs w:val="24"/>
          <w:lang w:val="en-GB"/>
        </w:rPr>
        <w:t>larger weight is attached to losses relative to a reference norm than to gains</w:t>
      </w:r>
      <w:r w:rsidR="00FD27E4">
        <w:rPr>
          <w:rFonts w:ascii="Times New Roman" w:hAnsi="Times New Roman" w:cs="Times New Roman"/>
          <w:sz w:val="24"/>
          <w:szCs w:val="24"/>
          <w:lang w:val="en-GB"/>
        </w:rPr>
        <w:t xml:space="preserve"> (Kahneman and Tversky 1979</w:t>
      </w:r>
      <w:r w:rsidR="009941AC">
        <w:rPr>
          <w:rFonts w:ascii="Times New Roman" w:hAnsi="Times New Roman" w:cs="Times New Roman"/>
          <w:sz w:val="24"/>
          <w:szCs w:val="24"/>
          <w:lang w:val="en-GB"/>
        </w:rPr>
        <w:t>)</w:t>
      </w:r>
      <w:r w:rsidR="001601AF">
        <w:rPr>
          <w:rFonts w:ascii="Times New Roman" w:hAnsi="Times New Roman" w:cs="Times New Roman"/>
          <w:sz w:val="24"/>
          <w:szCs w:val="24"/>
          <w:lang w:val="en-GB"/>
        </w:rPr>
        <w:t xml:space="preserve">. </w:t>
      </w:r>
      <w:r w:rsidR="009941AC">
        <w:rPr>
          <w:rFonts w:ascii="Times New Roman" w:hAnsi="Times New Roman" w:cs="Times New Roman"/>
          <w:sz w:val="24"/>
          <w:szCs w:val="24"/>
          <w:lang w:val="en-GB"/>
        </w:rPr>
        <w:t>The</w:t>
      </w:r>
      <w:r w:rsidR="00E40411">
        <w:rPr>
          <w:rFonts w:ascii="Times New Roman" w:hAnsi="Times New Roman" w:cs="Times New Roman"/>
          <w:sz w:val="24"/>
          <w:szCs w:val="24"/>
          <w:lang w:val="en-GB"/>
        </w:rPr>
        <w:t xml:space="preserve"> utility of</w:t>
      </w:r>
      <w:r w:rsidR="005F60FC">
        <w:rPr>
          <w:rFonts w:ascii="Times New Roman" w:hAnsi="Times New Roman" w:cs="Times New Roman"/>
          <w:sz w:val="24"/>
          <w:szCs w:val="24"/>
          <w:lang w:val="en-GB"/>
        </w:rPr>
        <w:t xml:space="preserve"> </w:t>
      </w:r>
      <w:r w:rsidR="00D86A86">
        <w:rPr>
          <w:rFonts w:ascii="Times New Roman" w:hAnsi="Times New Roman" w:cs="Times New Roman"/>
          <w:sz w:val="24"/>
          <w:szCs w:val="24"/>
          <w:lang w:val="en-GB"/>
        </w:rPr>
        <w:t>an employee in the follower sec</w:t>
      </w:r>
      <w:r w:rsidR="00E40411">
        <w:rPr>
          <w:rFonts w:ascii="Times New Roman" w:hAnsi="Times New Roman" w:cs="Times New Roman"/>
          <w:sz w:val="24"/>
          <w:szCs w:val="24"/>
          <w:lang w:val="en-GB"/>
        </w:rPr>
        <w:t xml:space="preserve">tor is </w:t>
      </w:r>
      <w:r w:rsidR="009941AC">
        <w:rPr>
          <w:rFonts w:ascii="Times New Roman" w:hAnsi="Times New Roman" w:cs="Times New Roman"/>
          <w:sz w:val="24"/>
          <w:szCs w:val="24"/>
          <w:lang w:val="en-GB"/>
        </w:rPr>
        <w:t xml:space="preserve">assumed to </w:t>
      </w:r>
      <w:r w:rsidR="00931A3A">
        <w:rPr>
          <w:rFonts w:ascii="Times New Roman" w:hAnsi="Times New Roman" w:cs="Times New Roman"/>
          <w:sz w:val="24"/>
          <w:szCs w:val="24"/>
          <w:lang w:val="en-GB"/>
        </w:rPr>
        <w:t>depend on only</w:t>
      </w:r>
      <w:r w:rsidR="00E40411">
        <w:rPr>
          <w:rFonts w:ascii="Times New Roman" w:hAnsi="Times New Roman" w:cs="Times New Roman"/>
          <w:sz w:val="24"/>
          <w:szCs w:val="24"/>
          <w:lang w:val="en-GB"/>
        </w:rPr>
        <w:t xml:space="preserve"> the real consumption wage if </w:t>
      </w:r>
      <w:r w:rsidR="00500288">
        <w:rPr>
          <w:rFonts w:ascii="Times New Roman" w:hAnsi="Times New Roman" w:cs="Times New Roman"/>
          <w:sz w:val="24"/>
          <w:szCs w:val="24"/>
          <w:lang w:val="en-GB"/>
        </w:rPr>
        <w:t xml:space="preserve">it is above that in the leader sector </w:t>
      </w:r>
      <w:r w:rsidR="00557A02">
        <w:rPr>
          <w:rFonts w:ascii="Times New Roman" w:hAnsi="Times New Roman" w:cs="Times New Roman"/>
          <w:sz w:val="24"/>
          <w:szCs w:val="24"/>
          <w:lang w:val="en-GB"/>
        </w:rPr>
        <w:t xml:space="preserve">but on both the real consumption wage </w:t>
      </w:r>
      <w:r w:rsidR="006D2EF1">
        <w:rPr>
          <w:rFonts w:ascii="Times New Roman" w:hAnsi="Times New Roman" w:cs="Times New Roman"/>
          <w:sz w:val="24"/>
          <w:szCs w:val="24"/>
          <w:lang w:val="en-GB"/>
        </w:rPr>
        <w:t xml:space="preserve">and the ratio between the own wage and </w:t>
      </w:r>
      <w:r w:rsidR="00807EEC">
        <w:rPr>
          <w:rFonts w:ascii="Times New Roman" w:hAnsi="Times New Roman" w:cs="Times New Roman"/>
          <w:sz w:val="24"/>
          <w:szCs w:val="24"/>
          <w:lang w:val="en-GB"/>
        </w:rPr>
        <w:t xml:space="preserve">that </w:t>
      </w:r>
      <w:r w:rsidR="00BF5F2B">
        <w:rPr>
          <w:rFonts w:ascii="Times New Roman" w:hAnsi="Times New Roman" w:cs="Times New Roman"/>
          <w:sz w:val="24"/>
          <w:szCs w:val="24"/>
          <w:lang w:val="en-GB"/>
        </w:rPr>
        <w:t xml:space="preserve">in the leader sector if the own wage is lower. </w:t>
      </w:r>
    </w:p>
    <w:p w14:paraId="57B89274" w14:textId="1DD6E662" w:rsidR="0057257E" w:rsidRDefault="008D174A" w:rsidP="002D4F3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With this formulation, it </w:t>
      </w:r>
      <w:r w:rsidR="00A25E22">
        <w:rPr>
          <w:rFonts w:ascii="Times New Roman" w:hAnsi="Times New Roman" w:cs="Times New Roman"/>
          <w:sz w:val="24"/>
          <w:szCs w:val="24"/>
          <w:lang w:val="en-GB"/>
        </w:rPr>
        <w:t>is in many cases</w:t>
      </w:r>
      <w:r w:rsidR="007440A4">
        <w:rPr>
          <w:rFonts w:ascii="Times New Roman" w:hAnsi="Times New Roman" w:cs="Times New Roman"/>
          <w:sz w:val="24"/>
          <w:szCs w:val="24"/>
          <w:lang w:val="en-GB"/>
        </w:rPr>
        <w:t xml:space="preserve"> </w:t>
      </w:r>
      <w:r w:rsidR="00A25E22">
        <w:rPr>
          <w:rFonts w:ascii="Times New Roman" w:hAnsi="Times New Roman" w:cs="Times New Roman"/>
          <w:sz w:val="24"/>
          <w:szCs w:val="24"/>
          <w:lang w:val="en-GB"/>
        </w:rPr>
        <w:t>optimal for</w:t>
      </w:r>
      <w:r>
        <w:rPr>
          <w:rFonts w:ascii="Times New Roman" w:hAnsi="Times New Roman" w:cs="Times New Roman"/>
          <w:sz w:val="24"/>
          <w:szCs w:val="24"/>
          <w:lang w:val="en-GB"/>
        </w:rPr>
        <w:t xml:space="preserve"> the follower to choose the same wage as the leader.</w:t>
      </w:r>
      <w:r w:rsidR="005928E7">
        <w:rPr>
          <w:rStyle w:val="FootnoteReference"/>
          <w:rFonts w:ascii="Times New Roman" w:hAnsi="Times New Roman" w:cs="Times New Roman"/>
          <w:sz w:val="24"/>
          <w:szCs w:val="24"/>
          <w:lang w:val="en-GB"/>
        </w:rPr>
        <w:footnoteReference w:id="34"/>
      </w:r>
      <w:r w:rsidR="00BD09EC">
        <w:rPr>
          <w:rFonts w:ascii="Times New Roman" w:hAnsi="Times New Roman" w:cs="Times New Roman"/>
          <w:sz w:val="24"/>
          <w:szCs w:val="24"/>
          <w:lang w:val="en-GB"/>
        </w:rPr>
        <w:t xml:space="preserve"> </w:t>
      </w:r>
      <w:r w:rsidR="00996A6C">
        <w:rPr>
          <w:rFonts w:ascii="Times New Roman" w:hAnsi="Times New Roman" w:cs="Times New Roman"/>
          <w:sz w:val="24"/>
          <w:szCs w:val="24"/>
          <w:lang w:val="en-GB"/>
        </w:rPr>
        <w:t>Such</w:t>
      </w:r>
      <w:r w:rsidR="00BD09EC">
        <w:rPr>
          <w:rFonts w:ascii="Times New Roman" w:hAnsi="Times New Roman" w:cs="Times New Roman"/>
          <w:sz w:val="24"/>
          <w:szCs w:val="24"/>
          <w:lang w:val="en-GB"/>
        </w:rPr>
        <w:t xml:space="preserve"> equilibria involve lower wages in the leader sector and higher aggregate </w:t>
      </w:r>
      <w:r w:rsidR="00BD09EC">
        <w:rPr>
          <w:rFonts w:ascii="Times New Roman" w:hAnsi="Times New Roman" w:cs="Times New Roman"/>
          <w:sz w:val="24"/>
          <w:szCs w:val="24"/>
          <w:lang w:val="en-GB"/>
        </w:rPr>
        <w:lastRenderedPageBreak/>
        <w:t>employment than</w:t>
      </w:r>
      <w:r w:rsidR="00CE6A0F">
        <w:rPr>
          <w:rFonts w:ascii="Times New Roman" w:hAnsi="Times New Roman" w:cs="Times New Roman"/>
          <w:sz w:val="24"/>
          <w:szCs w:val="24"/>
          <w:lang w:val="en-GB"/>
        </w:rPr>
        <w:t xml:space="preserve"> other</w:t>
      </w:r>
      <w:r w:rsidR="00BD09EC">
        <w:rPr>
          <w:rFonts w:ascii="Times New Roman" w:hAnsi="Times New Roman" w:cs="Times New Roman"/>
          <w:sz w:val="24"/>
          <w:szCs w:val="24"/>
          <w:lang w:val="en-GB"/>
        </w:rPr>
        <w:t xml:space="preserve"> equilibria</w:t>
      </w:r>
      <w:r w:rsidR="003C4F11">
        <w:rPr>
          <w:rFonts w:ascii="Times New Roman" w:hAnsi="Times New Roman" w:cs="Times New Roman"/>
          <w:sz w:val="24"/>
          <w:szCs w:val="24"/>
          <w:lang w:val="en-GB"/>
        </w:rPr>
        <w:t xml:space="preserve">. </w:t>
      </w:r>
      <w:r w:rsidR="00D33A6E">
        <w:rPr>
          <w:rFonts w:ascii="Times New Roman" w:hAnsi="Times New Roman" w:cs="Times New Roman"/>
          <w:sz w:val="24"/>
          <w:szCs w:val="24"/>
          <w:lang w:val="en-GB"/>
        </w:rPr>
        <w:t>The</w:t>
      </w:r>
      <w:r w:rsidR="00CE6A0F">
        <w:rPr>
          <w:rFonts w:ascii="Times New Roman" w:hAnsi="Times New Roman" w:cs="Times New Roman"/>
          <w:sz w:val="24"/>
          <w:szCs w:val="24"/>
          <w:lang w:val="en-GB"/>
        </w:rPr>
        <w:t xml:space="preserve"> </w:t>
      </w:r>
      <w:r w:rsidR="005A7239">
        <w:rPr>
          <w:rFonts w:ascii="Times New Roman" w:hAnsi="Times New Roman" w:cs="Times New Roman"/>
          <w:sz w:val="24"/>
          <w:szCs w:val="24"/>
          <w:lang w:val="en-GB"/>
        </w:rPr>
        <w:t>logic is</w:t>
      </w:r>
      <w:r w:rsidR="00D33A6E">
        <w:rPr>
          <w:rFonts w:ascii="Times New Roman" w:hAnsi="Times New Roman" w:cs="Times New Roman"/>
          <w:sz w:val="24"/>
          <w:szCs w:val="24"/>
          <w:lang w:val="en-GB"/>
        </w:rPr>
        <w:t xml:space="preserve"> again</w:t>
      </w:r>
      <w:r w:rsidR="005A7239">
        <w:rPr>
          <w:rFonts w:ascii="Times New Roman" w:hAnsi="Times New Roman" w:cs="Times New Roman"/>
          <w:sz w:val="24"/>
          <w:szCs w:val="24"/>
          <w:lang w:val="en-GB"/>
        </w:rPr>
        <w:t xml:space="preserve"> that the knowledge</w:t>
      </w:r>
      <w:r w:rsidR="00153B29">
        <w:rPr>
          <w:rFonts w:ascii="Times New Roman" w:hAnsi="Times New Roman" w:cs="Times New Roman"/>
          <w:sz w:val="24"/>
          <w:szCs w:val="24"/>
          <w:lang w:val="en-GB"/>
        </w:rPr>
        <w:t xml:space="preserve"> that the follower</w:t>
      </w:r>
      <w:r w:rsidR="005A7239">
        <w:rPr>
          <w:rFonts w:ascii="Times New Roman" w:hAnsi="Times New Roman" w:cs="Times New Roman"/>
          <w:sz w:val="24"/>
          <w:szCs w:val="24"/>
          <w:lang w:val="en-GB"/>
        </w:rPr>
        <w:t xml:space="preserve"> will mimic the wage of the leader restrains the latter.</w:t>
      </w:r>
      <w:r w:rsidR="00FC06D6">
        <w:rPr>
          <w:rFonts w:ascii="Times New Roman" w:hAnsi="Times New Roman" w:cs="Times New Roman"/>
          <w:sz w:val="24"/>
          <w:szCs w:val="24"/>
          <w:lang w:val="en-GB"/>
        </w:rPr>
        <w:t xml:space="preserve"> </w:t>
      </w:r>
      <w:r w:rsidR="003C4F11">
        <w:rPr>
          <w:rFonts w:ascii="Times New Roman" w:hAnsi="Times New Roman" w:cs="Times New Roman"/>
          <w:sz w:val="24"/>
          <w:szCs w:val="24"/>
          <w:lang w:val="en-GB"/>
        </w:rPr>
        <w:t>The</w:t>
      </w:r>
      <w:r w:rsidR="005769EF">
        <w:rPr>
          <w:rFonts w:ascii="Times New Roman" w:hAnsi="Times New Roman" w:cs="Times New Roman"/>
          <w:sz w:val="24"/>
          <w:szCs w:val="24"/>
          <w:lang w:val="en-GB"/>
        </w:rPr>
        <w:t xml:space="preserve"> mimicking</w:t>
      </w:r>
      <w:r w:rsidR="003C4F11">
        <w:rPr>
          <w:rFonts w:ascii="Times New Roman" w:hAnsi="Times New Roman" w:cs="Times New Roman"/>
          <w:sz w:val="24"/>
          <w:szCs w:val="24"/>
          <w:lang w:val="en-GB"/>
        </w:rPr>
        <w:t xml:space="preserve"> equilibria</w:t>
      </w:r>
      <w:r w:rsidR="00BD09EC">
        <w:rPr>
          <w:rFonts w:ascii="Times New Roman" w:hAnsi="Times New Roman" w:cs="Times New Roman"/>
          <w:sz w:val="24"/>
          <w:szCs w:val="24"/>
          <w:lang w:val="en-GB"/>
        </w:rPr>
        <w:t xml:space="preserve"> </w:t>
      </w:r>
      <w:r w:rsidR="003C4F11">
        <w:rPr>
          <w:rFonts w:ascii="Times New Roman" w:hAnsi="Times New Roman" w:cs="Times New Roman"/>
          <w:sz w:val="24"/>
          <w:szCs w:val="24"/>
          <w:lang w:val="en-GB"/>
        </w:rPr>
        <w:t xml:space="preserve">tend </w:t>
      </w:r>
      <w:r w:rsidR="00AA4246">
        <w:rPr>
          <w:rFonts w:ascii="Times New Roman" w:hAnsi="Times New Roman" w:cs="Times New Roman"/>
          <w:sz w:val="24"/>
          <w:szCs w:val="24"/>
          <w:lang w:val="en-GB"/>
        </w:rPr>
        <w:t>to arise</w:t>
      </w:r>
      <w:r>
        <w:rPr>
          <w:rFonts w:ascii="Times New Roman" w:hAnsi="Times New Roman" w:cs="Times New Roman"/>
          <w:sz w:val="24"/>
          <w:szCs w:val="24"/>
          <w:lang w:val="en-GB"/>
        </w:rPr>
        <w:t xml:space="preserve"> when the leader sector is smaller than the follower sector</w:t>
      </w:r>
      <w:r w:rsidR="005769EF">
        <w:rPr>
          <w:rFonts w:ascii="Times New Roman" w:hAnsi="Times New Roman" w:cs="Times New Roman"/>
          <w:sz w:val="24"/>
          <w:szCs w:val="24"/>
          <w:lang w:val="en-GB"/>
        </w:rPr>
        <w:t xml:space="preserve">, irrespective of </w:t>
      </w:r>
      <w:r w:rsidR="005928E7">
        <w:rPr>
          <w:rFonts w:ascii="Times New Roman" w:hAnsi="Times New Roman" w:cs="Times New Roman"/>
          <w:sz w:val="24"/>
          <w:szCs w:val="24"/>
          <w:lang w:val="en-GB"/>
        </w:rPr>
        <w:t>whether the tradables or</w:t>
      </w:r>
      <w:r w:rsidR="00165CC0">
        <w:rPr>
          <w:rFonts w:ascii="Times New Roman" w:hAnsi="Times New Roman" w:cs="Times New Roman"/>
          <w:sz w:val="24"/>
          <w:szCs w:val="24"/>
          <w:lang w:val="en-GB"/>
        </w:rPr>
        <w:t xml:space="preserve"> the</w:t>
      </w:r>
      <w:r w:rsidR="005928E7">
        <w:rPr>
          <w:rFonts w:ascii="Times New Roman" w:hAnsi="Times New Roman" w:cs="Times New Roman"/>
          <w:sz w:val="24"/>
          <w:szCs w:val="24"/>
          <w:lang w:val="en-GB"/>
        </w:rPr>
        <w:t xml:space="preserve"> nontradables sector leads</w:t>
      </w:r>
      <w:r>
        <w:rPr>
          <w:rFonts w:ascii="Times New Roman" w:hAnsi="Times New Roman" w:cs="Times New Roman"/>
          <w:sz w:val="24"/>
          <w:szCs w:val="24"/>
          <w:lang w:val="en-GB"/>
        </w:rPr>
        <w:t>.</w:t>
      </w:r>
      <w:r w:rsidR="005928E7">
        <w:rPr>
          <w:rFonts w:ascii="Times New Roman" w:hAnsi="Times New Roman" w:cs="Times New Roman"/>
          <w:sz w:val="24"/>
          <w:szCs w:val="24"/>
          <w:lang w:val="en-GB"/>
        </w:rPr>
        <w:t xml:space="preserve"> But as the tradables sector </w:t>
      </w:r>
      <w:r w:rsidR="00EB55D3">
        <w:rPr>
          <w:rFonts w:ascii="Times New Roman" w:hAnsi="Times New Roman" w:cs="Times New Roman"/>
          <w:sz w:val="24"/>
          <w:szCs w:val="24"/>
          <w:lang w:val="en-GB"/>
        </w:rPr>
        <w:t>in the Nordic countries</w:t>
      </w:r>
      <w:r w:rsidR="005928E7">
        <w:rPr>
          <w:rFonts w:ascii="Times New Roman" w:hAnsi="Times New Roman" w:cs="Times New Roman"/>
          <w:sz w:val="24"/>
          <w:szCs w:val="24"/>
          <w:lang w:val="en-GB"/>
        </w:rPr>
        <w:t xml:space="preserve"> is much smaller than the nontradables sector, the </w:t>
      </w:r>
      <w:r w:rsidR="00940C62">
        <w:rPr>
          <w:rFonts w:ascii="Times New Roman" w:hAnsi="Times New Roman" w:cs="Times New Roman"/>
          <w:sz w:val="24"/>
          <w:szCs w:val="24"/>
          <w:lang w:val="en-GB"/>
        </w:rPr>
        <w:t>Calmfors-Seim results here</w:t>
      </w:r>
      <w:r w:rsidR="005928E7">
        <w:rPr>
          <w:rFonts w:ascii="Times New Roman" w:hAnsi="Times New Roman" w:cs="Times New Roman"/>
          <w:sz w:val="24"/>
          <w:szCs w:val="24"/>
          <w:lang w:val="en-GB"/>
        </w:rPr>
        <w:t xml:space="preserve"> could be interpreted as supporting the idea that the tradables sector should </w:t>
      </w:r>
      <w:r w:rsidR="0074483B">
        <w:rPr>
          <w:rFonts w:ascii="Times New Roman" w:hAnsi="Times New Roman" w:cs="Times New Roman"/>
          <w:sz w:val="24"/>
          <w:szCs w:val="24"/>
          <w:lang w:val="en-GB"/>
        </w:rPr>
        <w:t>lead</w:t>
      </w:r>
      <w:r w:rsidR="00B94463">
        <w:rPr>
          <w:rFonts w:ascii="Times New Roman" w:hAnsi="Times New Roman" w:cs="Times New Roman"/>
          <w:sz w:val="24"/>
          <w:szCs w:val="24"/>
          <w:lang w:val="en-GB"/>
        </w:rPr>
        <w:t>.</w:t>
      </w:r>
    </w:p>
    <w:p w14:paraId="20685DF7" w14:textId="60A3A2B6" w:rsidR="00A97FF9" w:rsidRDefault="0057257E" w:rsidP="000D5F8C">
      <w:pPr>
        <w:spacing w:line="24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Summary of theoretical results</w:t>
      </w:r>
    </w:p>
    <w:p w14:paraId="0A5BEDDB" w14:textId="50DF9687" w:rsidR="000D5F8C" w:rsidRDefault="00682DF0" w:rsidP="0067552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the extent that</w:t>
      </w:r>
      <w:r w:rsidR="00346F4B">
        <w:rPr>
          <w:rFonts w:ascii="Times New Roman" w:hAnsi="Times New Roman" w:cs="Times New Roman"/>
          <w:sz w:val="24"/>
          <w:szCs w:val="24"/>
          <w:lang w:val="en-GB"/>
        </w:rPr>
        <w:t xml:space="preserve"> </w:t>
      </w:r>
      <w:r w:rsidR="00DC22E2">
        <w:rPr>
          <w:rFonts w:ascii="Times New Roman" w:hAnsi="Times New Roman" w:cs="Times New Roman"/>
          <w:sz w:val="24"/>
          <w:szCs w:val="24"/>
          <w:lang w:val="en-GB"/>
        </w:rPr>
        <w:t xml:space="preserve">tradables sector </w:t>
      </w:r>
      <w:r w:rsidR="00346F4B">
        <w:rPr>
          <w:rFonts w:ascii="Times New Roman" w:hAnsi="Times New Roman" w:cs="Times New Roman"/>
          <w:sz w:val="24"/>
          <w:szCs w:val="24"/>
          <w:lang w:val="en-GB"/>
        </w:rPr>
        <w:t>pattern setting works</w:t>
      </w:r>
      <w:r>
        <w:rPr>
          <w:rFonts w:ascii="Times New Roman" w:hAnsi="Times New Roman" w:cs="Times New Roman"/>
          <w:sz w:val="24"/>
          <w:szCs w:val="24"/>
          <w:lang w:val="en-GB"/>
        </w:rPr>
        <w:t xml:space="preserve"> as centralised bargaining in disguise, there is</w:t>
      </w:r>
      <w:r w:rsidR="00675523">
        <w:rPr>
          <w:rFonts w:ascii="Times New Roman" w:hAnsi="Times New Roman" w:cs="Times New Roman"/>
          <w:sz w:val="24"/>
          <w:szCs w:val="24"/>
          <w:lang w:val="en-GB"/>
        </w:rPr>
        <w:t xml:space="preserve"> a strong </w:t>
      </w:r>
      <w:r w:rsidR="002328EF">
        <w:rPr>
          <w:rFonts w:ascii="Times New Roman" w:hAnsi="Times New Roman" w:cs="Times New Roman"/>
          <w:sz w:val="24"/>
          <w:szCs w:val="24"/>
          <w:lang w:val="en-GB"/>
        </w:rPr>
        <w:t>theoretical case for wage</w:t>
      </w:r>
      <w:r w:rsidR="00DC22E2">
        <w:rPr>
          <w:rFonts w:ascii="Times New Roman" w:hAnsi="Times New Roman" w:cs="Times New Roman"/>
          <w:sz w:val="24"/>
          <w:szCs w:val="24"/>
          <w:lang w:val="en-GB"/>
        </w:rPr>
        <w:t>-</w:t>
      </w:r>
      <w:r w:rsidR="002328EF">
        <w:rPr>
          <w:rFonts w:ascii="Times New Roman" w:hAnsi="Times New Roman" w:cs="Times New Roman"/>
          <w:sz w:val="24"/>
          <w:szCs w:val="24"/>
          <w:lang w:val="en-GB"/>
        </w:rPr>
        <w:t xml:space="preserve">restraining effects. </w:t>
      </w:r>
      <w:r w:rsidR="005E5014">
        <w:rPr>
          <w:rFonts w:ascii="Times New Roman" w:hAnsi="Times New Roman" w:cs="Times New Roman"/>
          <w:sz w:val="24"/>
          <w:szCs w:val="24"/>
          <w:lang w:val="en-GB"/>
        </w:rPr>
        <w:t xml:space="preserve">There </w:t>
      </w:r>
      <w:r w:rsidR="00F9513C">
        <w:rPr>
          <w:rFonts w:ascii="Times New Roman" w:hAnsi="Times New Roman" w:cs="Times New Roman"/>
          <w:sz w:val="24"/>
          <w:szCs w:val="24"/>
          <w:lang w:val="en-GB"/>
        </w:rPr>
        <w:t>exists</w:t>
      </w:r>
      <w:r w:rsidR="005E5014">
        <w:rPr>
          <w:rFonts w:ascii="Times New Roman" w:hAnsi="Times New Roman" w:cs="Times New Roman"/>
          <w:sz w:val="24"/>
          <w:szCs w:val="24"/>
          <w:lang w:val="en-GB"/>
        </w:rPr>
        <w:t xml:space="preserve"> only a very small research literature </w:t>
      </w:r>
      <w:r w:rsidR="00F9513C">
        <w:rPr>
          <w:rFonts w:ascii="Times New Roman" w:hAnsi="Times New Roman" w:cs="Times New Roman"/>
          <w:sz w:val="24"/>
          <w:szCs w:val="24"/>
          <w:lang w:val="en-GB"/>
        </w:rPr>
        <w:t xml:space="preserve">explicitly analysing </w:t>
      </w:r>
      <w:r w:rsidR="008600EF">
        <w:rPr>
          <w:rFonts w:ascii="Times New Roman" w:hAnsi="Times New Roman" w:cs="Times New Roman"/>
          <w:sz w:val="24"/>
          <w:szCs w:val="24"/>
          <w:lang w:val="en-GB"/>
        </w:rPr>
        <w:t xml:space="preserve">wage </w:t>
      </w:r>
      <w:r w:rsidR="00A2711A">
        <w:rPr>
          <w:rFonts w:ascii="Times New Roman" w:hAnsi="Times New Roman" w:cs="Times New Roman"/>
          <w:sz w:val="24"/>
          <w:szCs w:val="24"/>
          <w:lang w:val="en-GB"/>
        </w:rPr>
        <w:t>leadership</w:t>
      </w:r>
      <w:r w:rsidR="004D34CF">
        <w:rPr>
          <w:rFonts w:ascii="Times New Roman" w:hAnsi="Times New Roman" w:cs="Times New Roman"/>
          <w:sz w:val="24"/>
          <w:szCs w:val="24"/>
          <w:lang w:val="en-GB"/>
        </w:rPr>
        <w:t xml:space="preserve">. </w:t>
      </w:r>
      <w:r w:rsidR="003F7C2E">
        <w:rPr>
          <w:rFonts w:ascii="Times New Roman" w:hAnsi="Times New Roman" w:cs="Times New Roman"/>
          <w:sz w:val="24"/>
          <w:szCs w:val="24"/>
          <w:lang w:val="en-GB"/>
        </w:rPr>
        <w:t xml:space="preserve">These analyses suggest </w:t>
      </w:r>
      <w:r w:rsidR="00505568">
        <w:rPr>
          <w:rFonts w:ascii="Times New Roman" w:hAnsi="Times New Roman" w:cs="Times New Roman"/>
          <w:sz w:val="24"/>
          <w:szCs w:val="24"/>
          <w:lang w:val="en-GB"/>
        </w:rPr>
        <w:t xml:space="preserve">that this form of </w:t>
      </w:r>
      <w:r w:rsidR="009B3FE7">
        <w:rPr>
          <w:rFonts w:ascii="Times New Roman" w:hAnsi="Times New Roman" w:cs="Times New Roman"/>
          <w:sz w:val="24"/>
          <w:szCs w:val="24"/>
          <w:lang w:val="en-GB"/>
        </w:rPr>
        <w:t>bargaining</w:t>
      </w:r>
      <w:r w:rsidR="00A519C6">
        <w:rPr>
          <w:rFonts w:ascii="Times New Roman" w:hAnsi="Times New Roman" w:cs="Times New Roman"/>
          <w:sz w:val="24"/>
          <w:szCs w:val="24"/>
          <w:lang w:val="en-GB"/>
        </w:rPr>
        <w:t xml:space="preserve"> may under </w:t>
      </w:r>
      <w:r w:rsidR="00043152">
        <w:rPr>
          <w:rFonts w:ascii="Times New Roman" w:hAnsi="Times New Roman" w:cs="Times New Roman"/>
          <w:sz w:val="24"/>
          <w:szCs w:val="24"/>
          <w:lang w:val="en-GB"/>
        </w:rPr>
        <w:t xml:space="preserve">some conditions promote wage moderation and high employment but </w:t>
      </w:r>
      <w:r w:rsidR="00A46FE8">
        <w:rPr>
          <w:rFonts w:ascii="Times New Roman" w:hAnsi="Times New Roman" w:cs="Times New Roman"/>
          <w:sz w:val="24"/>
          <w:szCs w:val="24"/>
          <w:lang w:val="en-GB"/>
        </w:rPr>
        <w:t xml:space="preserve">this </w:t>
      </w:r>
      <w:r w:rsidR="00D412F3">
        <w:rPr>
          <w:rFonts w:ascii="Times New Roman" w:hAnsi="Times New Roman" w:cs="Times New Roman"/>
          <w:sz w:val="24"/>
          <w:szCs w:val="24"/>
          <w:lang w:val="en-GB"/>
        </w:rPr>
        <w:t xml:space="preserve">applies irrespective of whether it is the tradables or the nontradables sector that </w:t>
      </w:r>
      <w:r w:rsidR="0010128D">
        <w:rPr>
          <w:rFonts w:ascii="Times New Roman" w:hAnsi="Times New Roman" w:cs="Times New Roman"/>
          <w:sz w:val="24"/>
          <w:szCs w:val="24"/>
          <w:lang w:val="en-GB"/>
        </w:rPr>
        <w:t xml:space="preserve">is the leader. </w:t>
      </w:r>
      <w:r w:rsidR="0092478F">
        <w:rPr>
          <w:rFonts w:ascii="Times New Roman" w:hAnsi="Times New Roman" w:cs="Times New Roman"/>
          <w:sz w:val="24"/>
          <w:szCs w:val="24"/>
          <w:lang w:val="en-GB"/>
        </w:rPr>
        <w:t xml:space="preserve">Some </w:t>
      </w:r>
      <w:r w:rsidR="00546862">
        <w:rPr>
          <w:rFonts w:ascii="Times New Roman" w:hAnsi="Times New Roman" w:cs="Times New Roman"/>
          <w:sz w:val="24"/>
          <w:szCs w:val="24"/>
          <w:lang w:val="en-GB"/>
        </w:rPr>
        <w:t xml:space="preserve">results indicate that </w:t>
      </w:r>
      <w:r w:rsidR="00895A5D">
        <w:rPr>
          <w:rFonts w:ascii="Times New Roman" w:hAnsi="Times New Roman" w:cs="Times New Roman"/>
          <w:sz w:val="24"/>
          <w:szCs w:val="24"/>
          <w:lang w:val="en-GB"/>
        </w:rPr>
        <w:t xml:space="preserve">wage </w:t>
      </w:r>
      <w:r w:rsidR="002D7869">
        <w:rPr>
          <w:rFonts w:ascii="Times New Roman" w:hAnsi="Times New Roman" w:cs="Times New Roman"/>
          <w:sz w:val="24"/>
          <w:szCs w:val="24"/>
          <w:lang w:val="en-GB"/>
        </w:rPr>
        <w:t xml:space="preserve">leadership by the </w:t>
      </w:r>
      <w:r w:rsidR="00A26AE5">
        <w:rPr>
          <w:rFonts w:ascii="Times New Roman" w:hAnsi="Times New Roman" w:cs="Times New Roman"/>
          <w:sz w:val="24"/>
          <w:szCs w:val="24"/>
          <w:lang w:val="en-GB"/>
        </w:rPr>
        <w:t>sector which is the smaller</w:t>
      </w:r>
      <w:r w:rsidR="00284D54">
        <w:rPr>
          <w:rFonts w:ascii="Times New Roman" w:hAnsi="Times New Roman" w:cs="Times New Roman"/>
          <w:sz w:val="24"/>
          <w:szCs w:val="24"/>
          <w:lang w:val="en-GB"/>
        </w:rPr>
        <w:t xml:space="preserve"> </w:t>
      </w:r>
      <w:r w:rsidR="00A26AE5">
        <w:rPr>
          <w:rFonts w:ascii="Times New Roman" w:hAnsi="Times New Roman" w:cs="Times New Roman"/>
          <w:sz w:val="24"/>
          <w:szCs w:val="24"/>
          <w:lang w:val="en-GB"/>
        </w:rPr>
        <w:t xml:space="preserve">is </w:t>
      </w:r>
      <w:r w:rsidR="00065AFE">
        <w:rPr>
          <w:rFonts w:ascii="Times New Roman" w:hAnsi="Times New Roman" w:cs="Times New Roman"/>
          <w:sz w:val="24"/>
          <w:szCs w:val="24"/>
          <w:lang w:val="en-GB"/>
        </w:rPr>
        <w:t>conducive t</w:t>
      </w:r>
      <w:r w:rsidR="00284D54">
        <w:rPr>
          <w:rFonts w:ascii="Times New Roman" w:hAnsi="Times New Roman" w:cs="Times New Roman"/>
          <w:sz w:val="24"/>
          <w:szCs w:val="24"/>
          <w:lang w:val="en-GB"/>
        </w:rPr>
        <w:t>o favourable macroeconomic outcomes</w:t>
      </w:r>
      <w:r w:rsidR="002F4312">
        <w:rPr>
          <w:rFonts w:ascii="Times New Roman" w:hAnsi="Times New Roman" w:cs="Times New Roman"/>
          <w:sz w:val="24"/>
          <w:szCs w:val="24"/>
          <w:lang w:val="en-GB"/>
        </w:rPr>
        <w:t xml:space="preserve">. This could perhaps be interpreted as </w:t>
      </w:r>
      <w:r w:rsidR="001F34C0">
        <w:rPr>
          <w:rFonts w:ascii="Times New Roman" w:hAnsi="Times New Roman" w:cs="Times New Roman"/>
          <w:sz w:val="24"/>
          <w:szCs w:val="24"/>
          <w:lang w:val="en-GB"/>
        </w:rPr>
        <w:t xml:space="preserve">supporting the view that the tradables sector should be the pattern setter, as this sector </w:t>
      </w:r>
      <w:r w:rsidR="00B15984">
        <w:rPr>
          <w:rFonts w:ascii="Times New Roman" w:hAnsi="Times New Roman" w:cs="Times New Roman"/>
          <w:sz w:val="24"/>
          <w:szCs w:val="24"/>
          <w:lang w:val="en-GB"/>
        </w:rPr>
        <w:t xml:space="preserve">according to various empirical </w:t>
      </w:r>
      <w:r w:rsidR="009B267C">
        <w:rPr>
          <w:rFonts w:ascii="Times New Roman" w:hAnsi="Times New Roman" w:cs="Times New Roman"/>
          <w:sz w:val="24"/>
          <w:szCs w:val="24"/>
          <w:lang w:val="en-GB"/>
        </w:rPr>
        <w:t>classification</w:t>
      </w:r>
      <w:r w:rsidR="00203FBF">
        <w:rPr>
          <w:rFonts w:ascii="Times New Roman" w:hAnsi="Times New Roman" w:cs="Times New Roman"/>
          <w:sz w:val="24"/>
          <w:szCs w:val="24"/>
          <w:lang w:val="en-GB"/>
        </w:rPr>
        <w:t>s</w:t>
      </w:r>
      <w:r w:rsidR="009B267C">
        <w:rPr>
          <w:rFonts w:ascii="Times New Roman" w:hAnsi="Times New Roman" w:cs="Times New Roman"/>
          <w:sz w:val="24"/>
          <w:szCs w:val="24"/>
          <w:lang w:val="en-GB"/>
        </w:rPr>
        <w:t xml:space="preserve"> is indeed much smaller than the nontradables sector. </w:t>
      </w:r>
      <w:r w:rsidR="004A626A">
        <w:rPr>
          <w:rFonts w:ascii="Times New Roman" w:hAnsi="Times New Roman" w:cs="Times New Roman"/>
          <w:sz w:val="24"/>
          <w:szCs w:val="24"/>
          <w:lang w:val="en-GB"/>
        </w:rPr>
        <w:t xml:space="preserve">But these theoretical findings are far from the </w:t>
      </w:r>
      <w:r w:rsidR="00E67ECD">
        <w:rPr>
          <w:rFonts w:ascii="Times New Roman" w:hAnsi="Times New Roman" w:cs="Times New Roman"/>
          <w:sz w:val="24"/>
          <w:szCs w:val="24"/>
          <w:lang w:val="en-GB"/>
        </w:rPr>
        <w:t>arguments that are commonly advanced for th</w:t>
      </w:r>
      <w:r w:rsidR="00B25B1E">
        <w:rPr>
          <w:rFonts w:ascii="Times New Roman" w:hAnsi="Times New Roman" w:cs="Times New Roman"/>
          <w:sz w:val="24"/>
          <w:szCs w:val="24"/>
          <w:lang w:val="en-GB"/>
        </w:rPr>
        <w:t>e leadership role of the tradables sector.</w:t>
      </w:r>
    </w:p>
    <w:p w14:paraId="37D870BC" w14:textId="19FE1D57" w:rsidR="00160B5A" w:rsidRPr="00A97FF9" w:rsidRDefault="00160B5A" w:rsidP="002D4F3C">
      <w:pPr>
        <w:spacing w:line="360" w:lineRule="auto"/>
        <w:jc w:val="both"/>
        <w:rPr>
          <w:rFonts w:ascii="Times New Roman" w:hAnsi="Times New Roman" w:cs="Times New Roman"/>
          <w:b/>
          <w:bCs/>
          <w:lang w:val="en-GB"/>
        </w:rPr>
      </w:pPr>
      <w:r w:rsidRPr="00A97FF9">
        <w:rPr>
          <w:rFonts w:ascii="Times New Roman" w:hAnsi="Times New Roman" w:cs="Times New Roman"/>
          <w:b/>
          <w:bCs/>
          <w:lang w:val="en-GB"/>
        </w:rPr>
        <w:t>Table 2</w:t>
      </w:r>
      <w:r w:rsidR="00B15B9C" w:rsidRPr="00A97FF9">
        <w:rPr>
          <w:rFonts w:ascii="Times New Roman" w:hAnsi="Times New Roman" w:cs="Times New Roman"/>
          <w:b/>
          <w:bCs/>
          <w:lang w:val="en-GB"/>
        </w:rPr>
        <w:t xml:space="preserve">. Theoretical model results on the effects of </w:t>
      </w:r>
      <w:r w:rsidR="004F37BC" w:rsidRPr="00A97FF9">
        <w:rPr>
          <w:rFonts w:ascii="Times New Roman" w:hAnsi="Times New Roman" w:cs="Times New Roman"/>
          <w:b/>
          <w:bCs/>
          <w:lang w:val="en-GB"/>
        </w:rPr>
        <w:t>pattern bargaining</w:t>
      </w:r>
    </w:p>
    <w:tbl>
      <w:tblPr>
        <w:tblStyle w:val="TableGrid"/>
        <w:tblW w:w="0" w:type="auto"/>
        <w:tblLook w:val="04A0" w:firstRow="1" w:lastRow="0" w:firstColumn="1" w:lastColumn="0" w:noHBand="0" w:noVBand="1"/>
      </w:tblPr>
      <w:tblGrid>
        <w:gridCol w:w="2265"/>
        <w:gridCol w:w="2265"/>
        <w:gridCol w:w="2266"/>
        <w:gridCol w:w="2266"/>
      </w:tblGrid>
      <w:tr w:rsidR="00750A2F" w14:paraId="7641E47C" w14:textId="77777777" w:rsidTr="00750A2F">
        <w:tc>
          <w:tcPr>
            <w:tcW w:w="2265" w:type="dxa"/>
          </w:tcPr>
          <w:p w14:paraId="3FDB9E75" w14:textId="77777777" w:rsidR="00750A2F" w:rsidRDefault="00750A2F" w:rsidP="002D4F3C">
            <w:pPr>
              <w:spacing w:line="360" w:lineRule="auto"/>
              <w:jc w:val="both"/>
              <w:rPr>
                <w:rFonts w:ascii="Times New Roman" w:hAnsi="Times New Roman" w:cs="Times New Roman"/>
                <w:sz w:val="24"/>
                <w:szCs w:val="24"/>
                <w:lang w:val="en-GB"/>
              </w:rPr>
            </w:pPr>
          </w:p>
        </w:tc>
        <w:tc>
          <w:tcPr>
            <w:tcW w:w="2265" w:type="dxa"/>
          </w:tcPr>
          <w:p w14:paraId="675AC21F" w14:textId="0D5CADC1" w:rsidR="00750A2F" w:rsidRPr="00AF3CAA" w:rsidRDefault="00F7582F" w:rsidP="002E7BAB">
            <w:pPr>
              <w:jc w:val="both"/>
              <w:rPr>
                <w:rFonts w:ascii="Times New Roman" w:hAnsi="Times New Roman" w:cs="Times New Roman"/>
                <w:i/>
                <w:iCs/>
                <w:sz w:val="20"/>
                <w:szCs w:val="20"/>
                <w:lang w:val="en-GB"/>
              </w:rPr>
            </w:pPr>
            <w:r w:rsidRPr="00AF3CAA">
              <w:rPr>
                <w:rFonts w:ascii="Times New Roman" w:hAnsi="Times New Roman" w:cs="Times New Roman"/>
                <w:i/>
                <w:iCs/>
                <w:sz w:val="20"/>
                <w:szCs w:val="20"/>
                <w:lang w:val="en-GB"/>
              </w:rPr>
              <w:t>Calmfors and Seim</w:t>
            </w:r>
            <w:r w:rsidR="00BC4DDE" w:rsidRPr="00AF3CAA">
              <w:rPr>
                <w:rFonts w:ascii="Times New Roman" w:hAnsi="Times New Roman" w:cs="Times New Roman"/>
                <w:i/>
                <w:iCs/>
                <w:sz w:val="20"/>
                <w:szCs w:val="20"/>
                <w:lang w:val="en-GB"/>
              </w:rPr>
              <w:t xml:space="preserve"> </w:t>
            </w:r>
            <w:r w:rsidR="00935761" w:rsidRPr="00AF3CAA">
              <w:rPr>
                <w:rFonts w:ascii="Times New Roman" w:hAnsi="Times New Roman" w:cs="Times New Roman"/>
                <w:i/>
                <w:iCs/>
                <w:sz w:val="20"/>
                <w:szCs w:val="20"/>
                <w:lang w:val="en-GB"/>
              </w:rPr>
              <w:t>(2013)</w:t>
            </w:r>
            <w:r w:rsidRPr="00AF3CAA">
              <w:rPr>
                <w:rFonts w:ascii="Times New Roman" w:hAnsi="Times New Roman" w:cs="Times New Roman"/>
                <w:i/>
                <w:iCs/>
                <w:sz w:val="20"/>
                <w:szCs w:val="20"/>
                <w:lang w:val="en-GB"/>
              </w:rPr>
              <w:t xml:space="preserve"> </w:t>
            </w:r>
          </w:p>
        </w:tc>
        <w:tc>
          <w:tcPr>
            <w:tcW w:w="2266" w:type="dxa"/>
          </w:tcPr>
          <w:p w14:paraId="1FD61460" w14:textId="0112B5E3" w:rsidR="00750A2F" w:rsidRPr="00AF3CAA" w:rsidRDefault="00935761" w:rsidP="002E7BAB">
            <w:pPr>
              <w:jc w:val="both"/>
              <w:rPr>
                <w:rFonts w:ascii="Times New Roman" w:hAnsi="Times New Roman" w:cs="Times New Roman"/>
                <w:i/>
                <w:iCs/>
                <w:sz w:val="20"/>
                <w:szCs w:val="20"/>
                <w:lang w:val="en-GB"/>
              </w:rPr>
            </w:pPr>
            <w:r w:rsidRPr="00AF3CAA">
              <w:rPr>
                <w:rFonts w:ascii="Times New Roman" w:hAnsi="Times New Roman" w:cs="Times New Roman"/>
                <w:i/>
                <w:iCs/>
                <w:sz w:val="20"/>
                <w:szCs w:val="20"/>
                <w:lang w:val="en-GB"/>
              </w:rPr>
              <w:t>Vartiainen</w:t>
            </w:r>
            <w:r w:rsidR="00245FE3" w:rsidRPr="00AF3CAA">
              <w:rPr>
                <w:rFonts w:ascii="Times New Roman" w:hAnsi="Times New Roman" w:cs="Times New Roman"/>
                <w:i/>
                <w:iCs/>
                <w:sz w:val="20"/>
                <w:szCs w:val="20"/>
                <w:lang w:val="en-GB"/>
              </w:rPr>
              <w:t xml:space="preserve"> (2010)</w:t>
            </w:r>
            <w:r w:rsidRPr="00AF3CAA">
              <w:rPr>
                <w:rFonts w:ascii="Times New Roman" w:hAnsi="Times New Roman" w:cs="Times New Roman"/>
                <w:i/>
                <w:iCs/>
                <w:sz w:val="20"/>
                <w:szCs w:val="20"/>
                <w:lang w:val="en-GB"/>
              </w:rPr>
              <w:t xml:space="preserve"> </w:t>
            </w:r>
          </w:p>
        </w:tc>
        <w:tc>
          <w:tcPr>
            <w:tcW w:w="2266" w:type="dxa"/>
          </w:tcPr>
          <w:p w14:paraId="72D87D0A" w14:textId="4DDDF6FD" w:rsidR="00750A2F" w:rsidRPr="00AF3CAA" w:rsidRDefault="00245FE3" w:rsidP="002E7BAB">
            <w:pPr>
              <w:jc w:val="both"/>
              <w:rPr>
                <w:rFonts w:ascii="Times New Roman" w:hAnsi="Times New Roman" w:cs="Times New Roman"/>
                <w:i/>
                <w:iCs/>
                <w:sz w:val="20"/>
                <w:szCs w:val="20"/>
                <w:lang w:val="en-GB"/>
              </w:rPr>
            </w:pPr>
            <w:r w:rsidRPr="00AF3CAA">
              <w:rPr>
                <w:rFonts w:ascii="Times New Roman" w:hAnsi="Times New Roman" w:cs="Times New Roman"/>
                <w:i/>
                <w:iCs/>
                <w:sz w:val="20"/>
                <w:szCs w:val="20"/>
                <w:lang w:val="en-GB"/>
              </w:rPr>
              <w:t>Juvonen</w:t>
            </w:r>
            <w:r w:rsidR="00DA78C0" w:rsidRPr="00AF3CAA">
              <w:rPr>
                <w:rFonts w:ascii="Times New Roman" w:hAnsi="Times New Roman" w:cs="Times New Roman"/>
                <w:i/>
                <w:iCs/>
                <w:sz w:val="20"/>
                <w:szCs w:val="20"/>
                <w:lang w:val="en-GB"/>
              </w:rPr>
              <w:t xml:space="preserve"> (2023)</w:t>
            </w:r>
          </w:p>
        </w:tc>
      </w:tr>
      <w:tr w:rsidR="00750A2F" w:rsidRPr="00AF3CAA" w14:paraId="7993AA1E" w14:textId="77777777" w:rsidTr="00750A2F">
        <w:tc>
          <w:tcPr>
            <w:tcW w:w="2265" w:type="dxa"/>
          </w:tcPr>
          <w:p w14:paraId="58E772FD" w14:textId="2FAB5E9C" w:rsidR="00750A2F" w:rsidRPr="00AF3CAA" w:rsidRDefault="002E7BAB" w:rsidP="002D4F3C">
            <w:pPr>
              <w:spacing w:line="360" w:lineRule="auto"/>
              <w:jc w:val="both"/>
              <w:rPr>
                <w:rFonts w:ascii="Times New Roman" w:hAnsi="Times New Roman" w:cs="Times New Roman"/>
                <w:i/>
                <w:iCs/>
                <w:sz w:val="20"/>
                <w:szCs w:val="20"/>
                <w:lang w:val="en-GB"/>
              </w:rPr>
            </w:pPr>
            <w:r w:rsidRPr="00AF3CAA">
              <w:rPr>
                <w:rFonts w:ascii="Times New Roman" w:hAnsi="Times New Roman" w:cs="Times New Roman"/>
                <w:i/>
                <w:iCs/>
                <w:sz w:val="20"/>
                <w:szCs w:val="20"/>
                <w:lang w:val="en-GB"/>
              </w:rPr>
              <w:t>M</w:t>
            </w:r>
            <w:r w:rsidR="007978CC" w:rsidRPr="00AF3CAA">
              <w:rPr>
                <w:rFonts w:ascii="Times New Roman" w:hAnsi="Times New Roman" w:cs="Times New Roman"/>
                <w:i/>
                <w:iCs/>
                <w:sz w:val="20"/>
                <w:szCs w:val="20"/>
                <w:lang w:val="en-GB"/>
              </w:rPr>
              <w:t>odel</w:t>
            </w:r>
          </w:p>
        </w:tc>
        <w:tc>
          <w:tcPr>
            <w:tcW w:w="2265" w:type="dxa"/>
          </w:tcPr>
          <w:p w14:paraId="42333D2F" w14:textId="3020C34F" w:rsidR="00750A2F" w:rsidRPr="00AF3CAA" w:rsidRDefault="007978CC" w:rsidP="002D4F3C">
            <w:pPr>
              <w:spacing w:line="360" w:lineRule="auto"/>
              <w:jc w:val="both"/>
              <w:rPr>
                <w:rFonts w:ascii="Times New Roman" w:hAnsi="Times New Roman" w:cs="Times New Roman"/>
                <w:sz w:val="20"/>
                <w:szCs w:val="20"/>
                <w:lang w:val="en-GB"/>
              </w:rPr>
            </w:pPr>
            <w:r w:rsidRPr="00AF3CAA">
              <w:rPr>
                <w:rFonts w:ascii="Times New Roman" w:hAnsi="Times New Roman" w:cs="Times New Roman"/>
                <w:sz w:val="20"/>
                <w:szCs w:val="20"/>
                <w:lang w:val="en-GB"/>
              </w:rPr>
              <w:t>Neoclassical</w:t>
            </w:r>
            <w:r w:rsidR="00792589" w:rsidRPr="00AF3CAA">
              <w:rPr>
                <w:rFonts w:ascii="Times New Roman" w:hAnsi="Times New Roman" w:cs="Times New Roman"/>
                <w:sz w:val="20"/>
                <w:szCs w:val="20"/>
                <w:lang w:val="en-GB"/>
              </w:rPr>
              <w:t>.</w:t>
            </w:r>
          </w:p>
        </w:tc>
        <w:tc>
          <w:tcPr>
            <w:tcW w:w="2266" w:type="dxa"/>
          </w:tcPr>
          <w:p w14:paraId="42BF15C8" w14:textId="73F17BEC" w:rsidR="00750A2F" w:rsidRPr="00AF3CAA" w:rsidRDefault="007978CC" w:rsidP="002D4F3C">
            <w:pPr>
              <w:spacing w:line="360" w:lineRule="auto"/>
              <w:jc w:val="both"/>
              <w:rPr>
                <w:rFonts w:ascii="Times New Roman" w:hAnsi="Times New Roman" w:cs="Times New Roman"/>
                <w:sz w:val="20"/>
                <w:szCs w:val="20"/>
                <w:lang w:val="en-GB"/>
              </w:rPr>
            </w:pPr>
            <w:r w:rsidRPr="00AF3CAA">
              <w:rPr>
                <w:rFonts w:ascii="Times New Roman" w:hAnsi="Times New Roman" w:cs="Times New Roman"/>
                <w:sz w:val="20"/>
                <w:szCs w:val="20"/>
                <w:lang w:val="en-GB"/>
              </w:rPr>
              <w:t>Neoclassical</w:t>
            </w:r>
            <w:r w:rsidR="00792589" w:rsidRPr="00AF3CAA">
              <w:rPr>
                <w:rFonts w:ascii="Times New Roman" w:hAnsi="Times New Roman" w:cs="Times New Roman"/>
                <w:sz w:val="20"/>
                <w:szCs w:val="20"/>
                <w:lang w:val="en-GB"/>
              </w:rPr>
              <w:t>.</w:t>
            </w:r>
          </w:p>
        </w:tc>
        <w:tc>
          <w:tcPr>
            <w:tcW w:w="2266" w:type="dxa"/>
          </w:tcPr>
          <w:p w14:paraId="37B36E1A" w14:textId="122BFEDA" w:rsidR="00750A2F" w:rsidRPr="00AF3CAA" w:rsidRDefault="007978CC" w:rsidP="002D4F3C">
            <w:pPr>
              <w:spacing w:line="360" w:lineRule="auto"/>
              <w:jc w:val="both"/>
              <w:rPr>
                <w:rFonts w:ascii="Times New Roman" w:hAnsi="Times New Roman" w:cs="Times New Roman"/>
                <w:sz w:val="20"/>
                <w:szCs w:val="20"/>
                <w:lang w:val="en-GB"/>
              </w:rPr>
            </w:pPr>
            <w:r w:rsidRPr="00AF3CAA">
              <w:rPr>
                <w:rFonts w:ascii="Times New Roman" w:hAnsi="Times New Roman" w:cs="Times New Roman"/>
                <w:sz w:val="20"/>
                <w:szCs w:val="20"/>
                <w:lang w:val="en-GB"/>
              </w:rPr>
              <w:t>New Keynesian</w:t>
            </w:r>
            <w:r w:rsidR="00792589" w:rsidRPr="00AF3CAA">
              <w:rPr>
                <w:rFonts w:ascii="Times New Roman" w:hAnsi="Times New Roman" w:cs="Times New Roman"/>
                <w:sz w:val="20"/>
                <w:szCs w:val="20"/>
                <w:lang w:val="en-GB"/>
              </w:rPr>
              <w:t>.</w:t>
            </w:r>
          </w:p>
        </w:tc>
      </w:tr>
      <w:tr w:rsidR="00750A2F" w:rsidRPr="00AF3CAA" w14:paraId="04A1C4BC" w14:textId="77777777" w:rsidTr="00750A2F">
        <w:tc>
          <w:tcPr>
            <w:tcW w:w="2265" w:type="dxa"/>
          </w:tcPr>
          <w:p w14:paraId="30F23676" w14:textId="619200A8" w:rsidR="00750A2F" w:rsidRPr="00AF3CAA" w:rsidRDefault="00F81E64" w:rsidP="002D4F3C">
            <w:pPr>
              <w:spacing w:line="360" w:lineRule="auto"/>
              <w:jc w:val="both"/>
              <w:rPr>
                <w:rFonts w:ascii="Times New Roman" w:hAnsi="Times New Roman" w:cs="Times New Roman"/>
                <w:i/>
                <w:iCs/>
                <w:sz w:val="20"/>
                <w:szCs w:val="20"/>
                <w:u w:val="single"/>
                <w:lang w:val="en-GB"/>
              </w:rPr>
            </w:pPr>
            <w:r w:rsidRPr="00AF3CAA">
              <w:rPr>
                <w:rFonts w:ascii="Times New Roman" w:hAnsi="Times New Roman" w:cs="Times New Roman"/>
                <w:i/>
                <w:iCs/>
                <w:sz w:val="20"/>
                <w:szCs w:val="20"/>
                <w:u w:val="single"/>
                <w:lang w:val="en-GB"/>
              </w:rPr>
              <w:t>Monetary union</w:t>
            </w:r>
          </w:p>
        </w:tc>
        <w:tc>
          <w:tcPr>
            <w:tcW w:w="2265" w:type="dxa"/>
          </w:tcPr>
          <w:p w14:paraId="5720268E" w14:textId="77777777" w:rsidR="00750A2F" w:rsidRPr="00AF3CAA" w:rsidRDefault="00750A2F" w:rsidP="002D4F3C">
            <w:pPr>
              <w:spacing w:line="360" w:lineRule="auto"/>
              <w:jc w:val="both"/>
              <w:rPr>
                <w:rFonts w:ascii="Times New Roman" w:hAnsi="Times New Roman" w:cs="Times New Roman"/>
                <w:sz w:val="20"/>
                <w:szCs w:val="20"/>
                <w:lang w:val="en-GB"/>
              </w:rPr>
            </w:pPr>
          </w:p>
        </w:tc>
        <w:tc>
          <w:tcPr>
            <w:tcW w:w="2266" w:type="dxa"/>
          </w:tcPr>
          <w:p w14:paraId="0773FFB0" w14:textId="77777777" w:rsidR="00750A2F" w:rsidRPr="00AF3CAA" w:rsidRDefault="00750A2F" w:rsidP="002D4F3C">
            <w:pPr>
              <w:spacing w:line="360" w:lineRule="auto"/>
              <w:jc w:val="both"/>
              <w:rPr>
                <w:rFonts w:ascii="Times New Roman" w:hAnsi="Times New Roman" w:cs="Times New Roman"/>
                <w:sz w:val="20"/>
                <w:szCs w:val="20"/>
                <w:lang w:val="en-GB"/>
              </w:rPr>
            </w:pPr>
          </w:p>
        </w:tc>
        <w:tc>
          <w:tcPr>
            <w:tcW w:w="2266" w:type="dxa"/>
          </w:tcPr>
          <w:p w14:paraId="0824BE36" w14:textId="77777777" w:rsidR="00750A2F" w:rsidRPr="00AF3CAA" w:rsidRDefault="00750A2F" w:rsidP="002D4F3C">
            <w:pPr>
              <w:spacing w:line="360" w:lineRule="auto"/>
              <w:jc w:val="both"/>
              <w:rPr>
                <w:rFonts w:ascii="Times New Roman" w:hAnsi="Times New Roman" w:cs="Times New Roman"/>
                <w:sz w:val="20"/>
                <w:szCs w:val="20"/>
                <w:lang w:val="en-GB"/>
              </w:rPr>
            </w:pPr>
          </w:p>
        </w:tc>
      </w:tr>
      <w:tr w:rsidR="008C6E49" w:rsidRPr="006402A9" w14:paraId="091F08AA" w14:textId="77777777" w:rsidTr="00750A2F">
        <w:tc>
          <w:tcPr>
            <w:tcW w:w="2265" w:type="dxa"/>
          </w:tcPr>
          <w:p w14:paraId="4D050CBB" w14:textId="7A33D31C" w:rsidR="008C6E49" w:rsidRPr="00AF3CAA" w:rsidRDefault="008C6E49" w:rsidP="008C6E49">
            <w:pPr>
              <w:rPr>
                <w:rFonts w:ascii="Times New Roman" w:hAnsi="Times New Roman" w:cs="Times New Roman"/>
                <w:i/>
                <w:iCs/>
                <w:sz w:val="20"/>
                <w:szCs w:val="20"/>
                <w:lang w:val="en-GB"/>
              </w:rPr>
            </w:pPr>
            <w:r w:rsidRPr="00AF3CAA">
              <w:rPr>
                <w:rFonts w:ascii="Times New Roman" w:hAnsi="Times New Roman" w:cs="Times New Roman"/>
                <w:i/>
                <w:iCs/>
                <w:sz w:val="20"/>
                <w:szCs w:val="20"/>
                <w:lang w:val="en-GB"/>
              </w:rPr>
              <w:t>Stackelberg leadership for tradables sector</w:t>
            </w:r>
          </w:p>
        </w:tc>
        <w:tc>
          <w:tcPr>
            <w:tcW w:w="2265" w:type="dxa"/>
          </w:tcPr>
          <w:p w14:paraId="55C630C2" w14:textId="3CDCBD40" w:rsidR="008C6E49" w:rsidRPr="00AF3CAA" w:rsidRDefault="008C6E49" w:rsidP="008C6E49">
            <w:pPr>
              <w:rPr>
                <w:rFonts w:ascii="Times New Roman" w:hAnsi="Times New Roman" w:cs="Times New Roman"/>
                <w:sz w:val="20"/>
                <w:szCs w:val="20"/>
                <w:lang w:val="en-GB"/>
              </w:rPr>
            </w:pPr>
            <w:r w:rsidRPr="00AF3CAA">
              <w:rPr>
                <w:rFonts w:ascii="Times New Roman" w:hAnsi="Times New Roman" w:cs="Times New Roman"/>
                <w:sz w:val="20"/>
                <w:szCs w:val="20"/>
                <w:lang w:val="en-GB"/>
              </w:rPr>
              <w:t xml:space="preserve">Higher tradables sector wage and lower aggregate employment than with uncoordinated bargaining. </w:t>
            </w:r>
          </w:p>
        </w:tc>
        <w:tc>
          <w:tcPr>
            <w:tcW w:w="2266" w:type="dxa"/>
          </w:tcPr>
          <w:p w14:paraId="2F495F9D" w14:textId="77777777" w:rsidR="008C6E49" w:rsidRPr="00AF3CAA" w:rsidRDefault="008C6E49" w:rsidP="008C6E49">
            <w:pPr>
              <w:spacing w:line="360" w:lineRule="auto"/>
              <w:jc w:val="both"/>
              <w:rPr>
                <w:rFonts w:ascii="Times New Roman" w:hAnsi="Times New Roman" w:cs="Times New Roman"/>
                <w:i/>
                <w:iCs/>
                <w:sz w:val="20"/>
                <w:szCs w:val="20"/>
                <w:lang w:val="en-GB"/>
              </w:rPr>
            </w:pPr>
          </w:p>
        </w:tc>
        <w:tc>
          <w:tcPr>
            <w:tcW w:w="2266" w:type="dxa"/>
          </w:tcPr>
          <w:p w14:paraId="2CE5DB69" w14:textId="4281EAD2" w:rsidR="008C6E49" w:rsidRPr="00AF3CAA" w:rsidRDefault="008C6E49" w:rsidP="008C6E49">
            <w:pPr>
              <w:rPr>
                <w:rFonts w:ascii="Times New Roman" w:hAnsi="Times New Roman" w:cs="Times New Roman"/>
                <w:sz w:val="20"/>
                <w:szCs w:val="20"/>
                <w:lang w:val="en-GB"/>
              </w:rPr>
            </w:pPr>
            <w:r w:rsidRPr="00AF3CAA">
              <w:rPr>
                <w:rFonts w:ascii="Times New Roman" w:hAnsi="Times New Roman" w:cs="Times New Roman"/>
                <w:sz w:val="20"/>
                <w:szCs w:val="20"/>
                <w:lang w:val="en-GB"/>
              </w:rPr>
              <w:t xml:space="preserve">Higher tradables sector wage and lower aggregate employment than with uncoordinated bargaining. </w:t>
            </w:r>
          </w:p>
        </w:tc>
      </w:tr>
      <w:tr w:rsidR="00264AE7" w:rsidRPr="006402A9" w14:paraId="66A377AA" w14:textId="77777777" w:rsidTr="00750A2F">
        <w:tc>
          <w:tcPr>
            <w:tcW w:w="2265" w:type="dxa"/>
          </w:tcPr>
          <w:p w14:paraId="069C1A1C" w14:textId="6E6904C9" w:rsidR="00264AE7" w:rsidRPr="00AF3CAA" w:rsidRDefault="00264AE7" w:rsidP="00264AE7">
            <w:pPr>
              <w:rPr>
                <w:rFonts w:ascii="Times New Roman" w:hAnsi="Times New Roman" w:cs="Times New Roman"/>
                <w:i/>
                <w:iCs/>
                <w:sz w:val="20"/>
                <w:szCs w:val="20"/>
                <w:lang w:val="en-GB"/>
              </w:rPr>
            </w:pPr>
            <w:r w:rsidRPr="00AF3CAA">
              <w:rPr>
                <w:rFonts w:ascii="Times New Roman" w:hAnsi="Times New Roman" w:cs="Times New Roman"/>
                <w:i/>
                <w:iCs/>
                <w:sz w:val="20"/>
                <w:szCs w:val="20"/>
                <w:lang w:val="en-GB"/>
              </w:rPr>
              <w:t>Stackelberg leadership for non-tradables sector</w:t>
            </w:r>
          </w:p>
        </w:tc>
        <w:tc>
          <w:tcPr>
            <w:tcW w:w="2265" w:type="dxa"/>
          </w:tcPr>
          <w:p w14:paraId="2DA24810" w14:textId="7B5501BC" w:rsidR="00264AE7" w:rsidRPr="00AF3CAA" w:rsidRDefault="00264AE7" w:rsidP="00264AE7">
            <w:pPr>
              <w:rPr>
                <w:rFonts w:ascii="Times New Roman" w:hAnsi="Times New Roman" w:cs="Times New Roman"/>
                <w:i/>
                <w:iCs/>
                <w:sz w:val="20"/>
                <w:szCs w:val="20"/>
                <w:lang w:val="en-GB"/>
              </w:rPr>
            </w:pPr>
            <w:r w:rsidRPr="00AF3CAA">
              <w:rPr>
                <w:rFonts w:ascii="Times New Roman" w:hAnsi="Times New Roman" w:cs="Times New Roman"/>
                <w:sz w:val="20"/>
                <w:szCs w:val="20"/>
                <w:lang w:val="en-GB"/>
              </w:rPr>
              <w:t xml:space="preserve">Lower non-tradables sector wage and higher aggregate employment than with uncoordinated bargaining. </w:t>
            </w:r>
          </w:p>
        </w:tc>
        <w:tc>
          <w:tcPr>
            <w:tcW w:w="2266" w:type="dxa"/>
          </w:tcPr>
          <w:p w14:paraId="45B367E0" w14:textId="77777777" w:rsidR="00264AE7" w:rsidRPr="00AF3CAA" w:rsidRDefault="00264AE7" w:rsidP="00264AE7">
            <w:pPr>
              <w:spacing w:line="360" w:lineRule="auto"/>
              <w:jc w:val="both"/>
              <w:rPr>
                <w:rFonts w:ascii="Times New Roman" w:hAnsi="Times New Roman" w:cs="Times New Roman"/>
                <w:i/>
                <w:iCs/>
                <w:sz w:val="20"/>
                <w:szCs w:val="20"/>
                <w:lang w:val="en-GB"/>
              </w:rPr>
            </w:pPr>
          </w:p>
        </w:tc>
        <w:tc>
          <w:tcPr>
            <w:tcW w:w="2266" w:type="dxa"/>
          </w:tcPr>
          <w:p w14:paraId="0EA4E2F5" w14:textId="045DABF8" w:rsidR="00264AE7" w:rsidRPr="00AF3CAA" w:rsidRDefault="00264AE7" w:rsidP="00325AB4">
            <w:pPr>
              <w:rPr>
                <w:rFonts w:ascii="Times New Roman" w:hAnsi="Times New Roman" w:cs="Times New Roman"/>
                <w:sz w:val="20"/>
                <w:szCs w:val="20"/>
                <w:lang w:val="en-GB"/>
              </w:rPr>
            </w:pPr>
            <w:r w:rsidRPr="00AF3CAA">
              <w:rPr>
                <w:rFonts w:ascii="Times New Roman" w:hAnsi="Times New Roman" w:cs="Times New Roman"/>
                <w:sz w:val="20"/>
                <w:szCs w:val="20"/>
                <w:lang w:val="en-GB"/>
              </w:rPr>
              <w:t>Higher nontradables sector wage and lower aggregate employment than with uncoordinated bargaining</w:t>
            </w:r>
            <w:r w:rsidR="00F74C31" w:rsidRPr="00AF3CAA">
              <w:rPr>
                <w:rFonts w:ascii="Times New Roman" w:hAnsi="Times New Roman" w:cs="Times New Roman"/>
                <w:sz w:val="20"/>
                <w:szCs w:val="20"/>
                <w:lang w:val="en-GB"/>
              </w:rPr>
              <w:t xml:space="preserve">, but </w:t>
            </w:r>
            <w:r w:rsidR="00DD4073" w:rsidRPr="00AF3CAA">
              <w:rPr>
                <w:rFonts w:ascii="Times New Roman" w:hAnsi="Times New Roman" w:cs="Times New Roman"/>
                <w:sz w:val="20"/>
                <w:szCs w:val="20"/>
                <w:lang w:val="en-GB"/>
              </w:rPr>
              <w:t>more wage restraint and higher aggregate employment than with Stackelberg leadership for the tradables sector.</w:t>
            </w:r>
            <w:r w:rsidRPr="00AF3CAA">
              <w:rPr>
                <w:rFonts w:ascii="Times New Roman" w:hAnsi="Times New Roman" w:cs="Times New Roman"/>
                <w:sz w:val="20"/>
                <w:szCs w:val="20"/>
                <w:lang w:val="en-GB"/>
              </w:rPr>
              <w:t xml:space="preserve"> </w:t>
            </w:r>
          </w:p>
        </w:tc>
      </w:tr>
      <w:tr w:rsidR="00264AE7" w:rsidRPr="006402A9" w14:paraId="62533DDF" w14:textId="77777777" w:rsidTr="00750A2F">
        <w:tc>
          <w:tcPr>
            <w:tcW w:w="2265" w:type="dxa"/>
          </w:tcPr>
          <w:p w14:paraId="2832AA79" w14:textId="6DBF44E8" w:rsidR="00264AE7" w:rsidRPr="00AF3CAA" w:rsidRDefault="00264AE7" w:rsidP="00264AE7">
            <w:pPr>
              <w:rPr>
                <w:rFonts w:ascii="Times New Roman" w:hAnsi="Times New Roman" w:cs="Times New Roman"/>
                <w:i/>
                <w:iCs/>
                <w:sz w:val="20"/>
                <w:szCs w:val="20"/>
                <w:lang w:val="en-GB"/>
              </w:rPr>
            </w:pPr>
            <w:r w:rsidRPr="00AF3CAA">
              <w:rPr>
                <w:rFonts w:ascii="Times New Roman" w:hAnsi="Times New Roman" w:cs="Times New Roman"/>
                <w:i/>
                <w:iCs/>
                <w:sz w:val="20"/>
                <w:szCs w:val="20"/>
                <w:lang w:val="en-GB"/>
              </w:rPr>
              <w:lastRenderedPageBreak/>
              <w:t>Social-norm leadership for</w:t>
            </w:r>
            <w:r w:rsidR="000E01E5" w:rsidRPr="00AF3CAA">
              <w:rPr>
                <w:rFonts w:ascii="Times New Roman" w:hAnsi="Times New Roman" w:cs="Times New Roman"/>
                <w:i/>
                <w:iCs/>
                <w:sz w:val="20"/>
                <w:szCs w:val="20"/>
                <w:lang w:val="en-GB"/>
              </w:rPr>
              <w:t xml:space="preserve"> any of the</w:t>
            </w:r>
            <w:r w:rsidRPr="00AF3CAA">
              <w:rPr>
                <w:rFonts w:ascii="Times New Roman" w:hAnsi="Times New Roman" w:cs="Times New Roman"/>
                <w:i/>
                <w:iCs/>
                <w:sz w:val="20"/>
                <w:szCs w:val="20"/>
                <w:lang w:val="en-GB"/>
              </w:rPr>
              <w:t xml:space="preserve"> </w:t>
            </w:r>
            <w:r w:rsidR="000E01E5" w:rsidRPr="00AF3CAA">
              <w:rPr>
                <w:rFonts w:ascii="Times New Roman" w:hAnsi="Times New Roman" w:cs="Times New Roman"/>
                <w:i/>
                <w:iCs/>
                <w:sz w:val="20"/>
                <w:szCs w:val="20"/>
                <w:lang w:val="en-GB"/>
              </w:rPr>
              <w:t>sectors</w:t>
            </w:r>
          </w:p>
        </w:tc>
        <w:tc>
          <w:tcPr>
            <w:tcW w:w="2265" w:type="dxa"/>
          </w:tcPr>
          <w:p w14:paraId="3AC2A525" w14:textId="77777777" w:rsidR="00264AE7" w:rsidRPr="00AF3CAA" w:rsidRDefault="00264AE7" w:rsidP="00264AE7">
            <w:pPr>
              <w:rPr>
                <w:rFonts w:ascii="Times New Roman" w:hAnsi="Times New Roman" w:cs="Times New Roman"/>
                <w:i/>
                <w:iCs/>
                <w:sz w:val="20"/>
                <w:szCs w:val="20"/>
                <w:lang w:val="en-GB"/>
              </w:rPr>
            </w:pPr>
          </w:p>
        </w:tc>
        <w:tc>
          <w:tcPr>
            <w:tcW w:w="2266" w:type="dxa"/>
          </w:tcPr>
          <w:p w14:paraId="58465754" w14:textId="77777777" w:rsidR="00264AE7" w:rsidRPr="00AF3CAA" w:rsidRDefault="00264AE7" w:rsidP="00264AE7">
            <w:pPr>
              <w:spacing w:line="360" w:lineRule="auto"/>
              <w:jc w:val="both"/>
              <w:rPr>
                <w:rFonts w:ascii="Times New Roman" w:hAnsi="Times New Roman" w:cs="Times New Roman"/>
                <w:i/>
                <w:iCs/>
                <w:sz w:val="20"/>
                <w:szCs w:val="20"/>
                <w:lang w:val="en-GB"/>
              </w:rPr>
            </w:pPr>
          </w:p>
        </w:tc>
        <w:tc>
          <w:tcPr>
            <w:tcW w:w="2266" w:type="dxa"/>
          </w:tcPr>
          <w:p w14:paraId="1D911805" w14:textId="13CFA889" w:rsidR="00264AE7" w:rsidRPr="00AF3CAA" w:rsidRDefault="00DA5885" w:rsidP="00944FA0">
            <w:pPr>
              <w:rPr>
                <w:rFonts w:ascii="Times New Roman" w:hAnsi="Times New Roman" w:cs="Times New Roman"/>
                <w:sz w:val="20"/>
                <w:szCs w:val="20"/>
                <w:lang w:val="en-GB"/>
              </w:rPr>
            </w:pPr>
            <w:r w:rsidRPr="00AF3CAA">
              <w:rPr>
                <w:rFonts w:ascii="Times New Roman" w:hAnsi="Times New Roman" w:cs="Times New Roman"/>
                <w:sz w:val="20"/>
                <w:szCs w:val="20"/>
                <w:lang w:val="en-GB"/>
              </w:rPr>
              <w:t xml:space="preserve">Lower </w:t>
            </w:r>
            <w:r w:rsidR="00E02892" w:rsidRPr="00AF3CAA">
              <w:rPr>
                <w:rFonts w:ascii="Times New Roman" w:hAnsi="Times New Roman" w:cs="Times New Roman"/>
                <w:sz w:val="20"/>
                <w:szCs w:val="20"/>
                <w:lang w:val="en-GB"/>
              </w:rPr>
              <w:t>tradables sector wage</w:t>
            </w:r>
            <w:r w:rsidR="008C7063" w:rsidRPr="00AF3CAA">
              <w:rPr>
                <w:rFonts w:ascii="Times New Roman" w:hAnsi="Times New Roman" w:cs="Times New Roman"/>
                <w:sz w:val="20"/>
                <w:szCs w:val="20"/>
                <w:lang w:val="en-GB"/>
              </w:rPr>
              <w:t xml:space="preserve">, higher aggregate employment </w:t>
            </w:r>
            <w:r w:rsidR="009C337A" w:rsidRPr="00AF3CAA">
              <w:rPr>
                <w:rFonts w:ascii="Times New Roman" w:hAnsi="Times New Roman" w:cs="Times New Roman"/>
                <w:sz w:val="20"/>
                <w:szCs w:val="20"/>
                <w:lang w:val="en-GB"/>
              </w:rPr>
              <w:t>and higher welfare than with uncordinated bargaining and Stackelberg leadership</w:t>
            </w:r>
            <w:r w:rsidR="00944FA0" w:rsidRPr="00AF3CAA">
              <w:rPr>
                <w:rFonts w:ascii="Times New Roman" w:hAnsi="Times New Roman" w:cs="Times New Roman"/>
                <w:sz w:val="20"/>
                <w:szCs w:val="20"/>
                <w:lang w:val="en-GB"/>
              </w:rPr>
              <w:t>.</w:t>
            </w:r>
          </w:p>
        </w:tc>
      </w:tr>
      <w:tr w:rsidR="00BC0BD2" w:rsidRPr="006402A9" w14:paraId="750A5833" w14:textId="77777777" w:rsidTr="00750A2F">
        <w:tc>
          <w:tcPr>
            <w:tcW w:w="2265" w:type="dxa"/>
          </w:tcPr>
          <w:p w14:paraId="681BF203" w14:textId="318E2185" w:rsidR="00BC0BD2" w:rsidRPr="00AF3CAA" w:rsidRDefault="0039577A" w:rsidP="00264AE7">
            <w:pPr>
              <w:rPr>
                <w:rFonts w:ascii="Times New Roman" w:hAnsi="Times New Roman" w:cs="Times New Roman"/>
                <w:i/>
                <w:iCs/>
                <w:sz w:val="20"/>
                <w:szCs w:val="20"/>
                <w:lang w:val="en-GB"/>
              </w:rPr>
            </w:pPr>
            <w:r w:rsidRPr="00AF3CAA">
              <w:rPr>
                <w:rFonts w:ascii="Times New Roman" w:hAnsi="Times New Roman" w:cs="Times New Roman"/>
                <w:i/>
                <w:iCs/>
                <w:sz w:val="20"/>
                <w:szCs w:val="20"/>
                <w:lang w:val="en-GB"/>
              </w:rPr>
              <w:t>Social-norm leadership for the smaller sector</w:t>
            </w:r>
          </w:p>
        </w:tc>
        <w:tc>
          <w:tcPr>
            <w:tcW w:w="2265" w:type="dxa"/>
          </w:tcPr>
          <w:p w14:paraId="13204086" w14:textId="346573E1" w:rsidR="00BC0BD2" w:rsidRPr="00AF3CAA" w:rsidRDefault="0039577A" w:rsidP="00264AE7">
            <w:pPr>
              <w:rPr>
                <w:rFonts w:ascii="Times New Roman" w:hAnsi="Times New Roman" w:cs="Times New Roman"/>
                <w:i/>
                <w:iCs/>
                <w:sz w:val="20"/>
                <w:szCs w:val="20"/>
                <w:lang w:val="en-GB"/>
              </w:rPr>
            </w:pPr>
            <w:r w:rsidRPr="00AF3CAA">
              <w:rPr>
                <w:rFonts w:ascii="Times New Roman" w:hAnsi="Times New Roman" w:cs="Times New Roman"/>
                <w:sz w:val="20"/>
                <w:szCs w:val="20"/>
                <w:lang w:val="en-GB"/>
              </w:rPr>
              <w:t>Lower wage in the leader sector and higher aggregate employment than in other equilibria.</w:t>
            </w:r>
          </w:p>
        </w:tc>
        <w:tc>
          <w:tcPr>
            <w:tcW w:w="2266" w:type="dxa"/>
          </w:tcPr>
          <w:p w14:paraId="57580994" w14:textId="77777777" w:rsidR="00BC0BD2" w:rsidRPr="00AF3CAA" w:rsidRDefault="00BC0BD2" w:rsidP="00264AE7">
            <w:pPr>
              <w:spacing w:line="360" w:lineRule="auto"/>
              <w:jc w:val="both"/>
              <w:rPr>
                <w:rFonts w:ascii="Times New Roman" w:hAnsi="Times New Roman" w:cs="Times New Roman"/>
                <w:i/>
                <w:iCs/>
                <w:sz w:val="20"/>
                <w:szCs w:val="20"/>
                <w:lang w:val="en-GB"/>
              </w:rPr>
            </w:pPr>
          </w:p>
        </w:tc>
        <w:tc>
          <w:tcPr>
            <w:tcW w:w="2266" w:type="dxa"/>
          </w:tcPr>
          <w:p w14:paraId="677455BE" w14:textId="77777777" w:rsidR="00BC0BD2" w:rsidRPr="00AF3CAA" w:rsidRDefault="00BC0BD2" w:rsidP="00944FA0">
            <w:pPr>
              <w:rPr>
                <w:rFonts w:ascii="Times New Roman" w:hAnsi="Times New Roman" w:cs="Times New Roman"/>
                <w:sz w:val="20"/>
                <w:szCs w:val="20"/>
                <w:lang w:val="en-GB"/>
              </w:rPr>
            </w:pPr>
          </w:p>
        </w:tc>
      </w:tr>
      <w:tr w:rsidR="00264AE7" w:rsidRPr="00AF3CAA" w14:paraId="6E2156FD" w14:textId="77777777" w:rsidTr="00750A2F">
        <w:tc>
          <w:tcPr>
            <w:tcW w:w="2265" w:type="dxa"/>
          </w:tcPr>
          <w:p w14:paraId="573058E0" w14:textId="64B5CA65" w:rsidR="00264AE7" w:rsidRPr="00AF3CAA" w:rsidRDefault="00264AE7" w:rsidP="00264AE7">
            <w:pPr>
              <w:spacing w:line="360" w:lineRule="auto"/>
              <w:jc w:val="both"/>
              <w:rPr>
                <w:rFonts w:ascii="Times New Roman" w:hAnsi="Times New Roman" w:cs="Times New Roman"/>
                <w:i/>
                <w:iCs/>
                <w:sz w:val="20"/>
                <w:szCs w:val="20"/>
                <w:u w:val="single"/>
                <w:lang w:val="en-GB"/>
              </w:rPr>
            </w:pPr>
            <w:r w:rsidRPr="00AF3CAA">
              <w:rPr>
                <w:rFonts w:ascii="Times New Roman" w:hAnsi="Times New Roman" w:cs="Times New Roman"/>
                <w:i/>
                <w:iCs/>
                <w:sz w:val="20"/>
                <w:szCs w:val="20"/>
                <w:u w:val="single"/>
                <w:lang w:val="en-GB"/>
              </w:rPr>
              <w:t>Inflation targeting</w:t>
            </w:r>
          </w:p>
        </w:tc>
        <w:tc>
          <w:tcPr>
            <w:tcW w:w="2265" w:type="dxa"/>
          </w:tcPr>
          <w:p w14:paraId="74CE647C" w14:textId="77777777" w:rsidR="00264AE7" w:rsidRPr="00AF3CAA" w:rsidRDefault="00264AE7" w:rsidP="00264AE7">
            <w:pPr>
              <w:rPr>
                <w:rFonts w:ascii="Times New Roman" w:hAnsi="Times New Roman" w:cs="Times New Roman"/>
                <w:i/>
                <w:iCs/>
                <w:sz w:val="20"/>
                <w:szCs w:val="20"/>
                <w:lang w:val="en-GB"/>
              </w:rPr>
            </w:pPr>
          </w:p>
        </w:tc>
        <w:tc>
          <w:tcPr>
            <w:tcW w:w="2266" w:type="dxa"/>
          </w:tcPr>
          <w:p w14:paraId="2CF1E475" w14:textId="77777777" w:rsidR="00264AE7" w:rsidRPr="00AF3CAA" w:rsidRDefault="00264AE7" w:rsidP="00264AE7">
            <w:pPr>
              <w:spacing w:line="360" w:lineRule="auto"/>
              <w:jc w:val="both"/>
              <w:rPr>
                <w:rFonts w:ascii="Times New Roman" w:hAnsi="Times New Roman" w:cs="Times New Roman"/>
                <w:i/>
                <w:iCs/>
                <w:sz w:val="20"/>
                <w:szCs w:val="20"/>
                <w:lang w:val="en-GB"/>
              </w:rPr>
            </w:pPr>
          </w:p>
        </w:tc>
        <w:tc>
          <w:tcPr>
            <w:tcW w:w="2266" w:type="dxa"/>
          </w:tcPr>
          <w:p w14:paraId="56D61646" w14:textId="77777777" w:rsidR="00264AE7" w:rsidRPr="00AF3CAA" w:rsidRDefault="00264AE7" w:rsidP="00264AE7">
            <w:pPr>
              <w:spacing w:line="360" w:lineRule="auto"/>
              <w:jc w:val="both"/>
              <w:rPr>
                <w:rFonts w:ascii="Times New Roman" w:hAnsi="Times New Roman" w:cs="Times New Roman"/>
                <w:i/>
                <w:iCs/>
                <w:sz w:val="20"/>
                <w:szCs w:val="20"/>
                <w:lang w:val="en-GB"/>
              </w:rPr>
            </w:pPr>
          </w:p>
        </w:tc>
      </w:tr>
      <w:tr w:rsidR="00264AE7" w:rsidRPr="006402A9" w14:paraId="4B38E4EF" w14:textId="77777777" w:rsidTr="00750A2F">
        <w:tc>
          <w:tcPr>
            <w:tcW w:w="2265" w:type="dxa"/>
          </w:tcPr>
          <w:p w14:paraId="101326C4" w14:textId="115FC866" w:rsidR="00264AE7" w:rsidRPr="00AF3CAA" w:rsidRDefault="00264AE7" w:rsidP="00264AE7">
            <w:pPr>
              <w:rPr>
                <w:rFonts w:ascii="Times New Roman" w:hAnsi="Times New Roman" w:cs="Times New Roman"/>
                <w:i/>
                <w:iCs/>
                <w:sz w:val="20"/>
                <w:szCs w:val="20"/>
                <w:lang w:val="en-GB"/>
              </w:rPr>
            </w:pPr>
            <w:r w:rsidRPr="00AF3CAA">
              <w:rPr>
                <w:rFonts w:ascii="Times New Roman" w:hAnsi="Times New Roman" w:cs="Times New Roman"/>
                <w:i/>
                <w:iCs/>
                <w:sz w:val="20"/>
                <w:szCs w:val="20"/>
                <w:lang w:val="en-GB"/>
              </w:rPr>
              <w:t xml:space="preserve">Stackelberg leadership for </w:t>
            </w:r>
            <w:r w:rsidR="00487CB8" w:rsidRPr="00AF3CAA">
              <w:rPr>
                <w:rFonts w:ascii="Times New Roman" w:hAnsi="Times New Roman" w:cs="Times New Roman"/>
                <w:i/>
                <w:iCs/>
                <w:sz w:val="20"/>
                <w:szCs w:val="20"/>
                <w:lang w:val="en-GB"/>
              </w:rPr>
              <w:t>any of the sectors</w:t>
            </w:r>
          </w:p>
        </w:tc>
        <w:tc>
          <w:tcPr>
            <w:tcW w:w="2265" w:type="dxa"/>
          </w:tcPr>
          <w:p w14:paraId="49C2F49C" w14:textId="07308010" w:rsidR="00264AE7" w:rsidRPr="00AF3CAA" w:rsidRDefault="00264AE7" w:rsidP="00264AE7">
            <w:pPr>
              <w:rPr>
                <w:rFonts w:ascii="Times New Roman" w:hAnsi="Times New Roman" w:cs="Times New Roman"/>
                <w:sz w:val="20"/>
                <w:szCs w:val="20"/>
                <w:lang w:val="en-GB"/>
              </w:rPr>
            </w:pPr>
            <w:r w:rsidRPr="00AF3CAA">
              <w:rPr>
                <w:rFonts w:ascii="Times New Roman" w:hAnsi="Times New Roman" w:cs="Times New Roman"/>
                <w:sz w:val="20"/>
                <w:szCs w:val="20"/>
                <w:lang w:val="en-GB"/>
              </w:rPr>
              <w:t>Same wages and aggregate employment as with uncoordinated bargaining.</w:t>
            </w:r>
          </w:p>
        </w:tc>
        <w:tc>
          <w:tcPr>
            <w:tcW w:w="2266" w:type="dxa"/>
          </w:tcPr>
          <w:p w14:paraId="572EE27B" w14:textId="7E7C5E85" w:rsidR="00264AE7" w:rsidRPr="00AF3CAA" w:rsidRDefault="00264AE7" w:rsidP="00264AE7">
            <w:pPr>
              <w:rPr>
                <w:rFonts w:ascii="Times New Roman" w:hAnsi="Times New Roman" w:cs="Times New Roman"/>
                <w:sz w:val="20"/>
                <w:szCs w:val="20"/>
                <w:lang w:val="en-GB"/>
              </w:rPr>
            </w:pPr>
            <w:r w:rsidRPr="00AF3CAA">
              <w:rPr>
                <w:rFonts w:ascii="Times New Roman" w:hAnsi="Times New Roman" w:cs="Times New Roman"/>
                <w:sz w:val="20"/>
                <w:szCs w:val="20"/>
                <w:lang w:val="en-GB"/>
              </w:rPr>
              <w:t>Lower wages and higher aggregate employment than with uncoordinated bargaining if goods are not easily substitutable.</w:t>
            </w:r>
          </w:p>
        </w:tc>
        <w:tc>
          <w:tcPr>
            <w:tcW w:w="2266" w:type="dxa"/>
          </w:tcPr>
          <w:p w14:paraId="3CB37268" w14:textId="77777777" w:rsidR="00264AE7" w:rsidRPr="00AF3CAA" w:rsidRDefault="00264AE7" w:rsidP="00264AE7">
            <w:pPr>
              <w:spacing w:line="360" w:lineRule="auto"/>
              <w:jc w:val="both"/>
              <w:rPr>
                <w:rFonts w:ascii="Times New Roman" w:hAnsi="Times New Roman" w:cs="Times New Roman"/>
                <w:i/>
                <w:iCs/>
                <w:sz w:val="20"/>
                <w:szCs w:val="20"/>
                <w:lang w:val="en-GB"/>
              </w:rPr>
            </w:pPr>
          </w:p>
        </w:tc>
      </w:tr>
      <w:tr w:rsidR="00264AE7" w:rsidRPr="00AF3CAA" w14:paraId="46704951" w14:textId="77777777" w:rsidTr="00750A2F">
        <w:tc>
          <w:tcPr>
            <w:tcW w:w="2265" w:type="dxa"/>
          </w:tcPr>
          <w:p w14:paraId="0FFE34FB" w14:textId="6416C181" w:rsidR="00264AE7" w:rsidRPr="00AF3CAA" w:rsidRDefault="00264AE7" w:rsidP="00264AE7">
            <w:pPr>
              <w:rPr>
                <w:rFonts w:ascii="Times New Roman" w:hAnsi="Times New Roman" w:cs="Times New Roman"/>
                <w:i/>
                <w:iCs/>
                <w:sz w:val="20"/>
                <w:szCs w:val="20"/>
                <w:lang w:val="en-GB"/>
              </w:rPr>
            </w:pPr>
            <w:r w:rsidRPr="00AF3CAA">
              <w:rPr>
                <w:rFonts w:ascii="Times New Roman" w:hAnsi="Times New Roman" w:cs="Times New Roman"/>
                <w:i/>
                <w:iCs/>
                <w:sz w:val="20"/>
                <w:szCs w:val="20"/>
                <w:lang w:val="en-GB"/>
              </w:rPr>
              <w:t>Social-norm leadership for</w:t>
            </w:r>
            <w:r w:rsidR="00FA6412" w:rsidRPr="00AF3CAA">
              <w:rPr>
                <w:rFonts w:ascii="Times New Roman" w:hAnsi="Times New Roman" w:cs="Times New Roman"/>
                <w:i/>
                <w:iCs/>
                <w:sz w:val="20"/>
                <w:szCs w:val="20"/>
                <w:lang w:val="en-GB"/>
              </w:rPr>
              <w:t xml:space="preserve"> any of the sectors </w:t>
            </w:r>
            <w:r w:rsidRPr="00AF3CAA">
              <w:rPr>
                <w:rFonts w:ascii="Times New Roman" w:hAnsi="Times New Roman" w:cs="Times New Roman"/>
                <w:i/>
                <w:iCs/>
                <w:sz w:val="20"/>
                <w:szCs w:val="20"/>
                <w:lang w:val="en-GB"/>
              </w:rPr>
              <w:t xml:space="preserve"> </w:t>
            </w:r>
          </w:p>
        </w:tc>
        <w:tc>
          <w:tcPr>
            <w:tcW w:w="2265" w:type="dxa"/>
          </w:tcPr>
          <w:p w14:paraId="26432839" w14:textId="77777777" w:rsidR="00264AE7" w:rsidRPr="00AF3CAA" w:rsidRDefault="00264AE7" w:rsidP="00264AE7">
            <w:pPr>
              <w:spacing w:line="360" w:lineRule="auto"/>
              <w:rPr>
                <w:rFonts w:ascii="Times New Roman" w:hAnsi="Times New Roman" w:cs="Times New Roman"/>
                <w:i/>
                <w:iCs/>
                <w:sz w:val="20"/>
                <w:szCs w:val="20"/>
                <w:lang w:val="en-GB"/>
              </w:rPr>
            </w:pPr>
          </w:p>
        </w:tc>
        <w:tc>
          <w:tcPr>
            <w:tcW w:w="2266" w:type="dxa"/>
          </w:tcPr>
          <w:p w14:paraId="796ADE88" w14:textId="6CB9454B" w:rsidR="00264AE7" w:rsidRPr="00AF3CAA" w:rsidRDefault="00B8005D" w:rsidP="002C353A">
            <w:pPr>
              <w:rPr>
                <w:rFonts w:ascii="Times New Roman" w:hAnsi="Times New Roman" w:cs="Times New Roman"/>
                <w:sz w:val="20"/>
                <w:szCs w:val="20"/>
                <w:lang w:val="en-GB"/>
              </w:rPr>
            </w:pPr>
            <w:r w:rsidRPr="00AF3CAA">
              <w:rPr>
                <w:rFonts w:ascii="Times New Roman" w:hAnsi="Times New Roman" w:cs="Times New Roman"/>
                <w:sz w:val="20"/>
                <w:szCs w:val="20"/>
                <w:lang w:val="en-GB"/>
              </w:rPr>
              <w:t>Lower wages and higher aggregate employment than with uncoordinated bargaining</w:t>
            </w:r>
            <w:r w:rsidR="00E85892" w:rsidRPr="00AF3CAA">
              <w:rPr>
                <w:rFonts w:ascii="Times New Roman" w:hAnsi="Times New Roman" w:cs="Times New Roman"/>
                <w:sz w:val="20"/>
                <w:szCs w:val="20"/>
                <w:lang w:val="en-GB"/>
              </w:rPr>
              <w:t xml:space="preserve"> and with Stackelberg leadership.</w:t>
            </w:r>
          </w:p>
        </w:tc>
        <w:tc>
          <w:tcPr>
            <w:tcW w:w="2266" w:type="dxa"/>
          </w:tcPr>
          <w:p w14:paraId="13E800B8" w14:textId="0655800E" w:rsidR="00264AE7" w:rsidRPr="00AF3CAA" w:rsidRDefault="001F29B1" w:rsidP="00264AE7">
            <w:pPr>
              <w:spacing w:line="360" w:lineRule="auto"/>
              <w:jc w:val="both"/>
              <w:rPr>
                <w:rFonts w:ascii="Times New Roman" w:hAnsi="Times New Roman" w:cs="Times New Roman"/>
                <w:i/>
                <w:iCs/>
                <w:sz w:val="20"/>
                <w:szCs w:val="20"/>
                <w:lang w:val="en-GB"/>
              </w:rPr>
            </w:pPr>
            <w:r w:rsidRPr="00AF3CAA">
              <w:rPr>
                <w:rFonts w:ascii="Times New Roman" w:hAnsi="Times New Roman" w:cs="Times New Roman"/>
                <w:sz w:val="20"/>
                <w:szCs w:val="20"/>
                <w:lang w:val="en-GB"/>
              </w:rPr>
              <w:t>.</w:t>
            </w:r>
          </w:p>
        </w:tc>
      </w:tr>
      <w:tr w:rsidR="00264AE7" w:rsidRPr="006402A9" w14:paraId="50EE5807" w14:textId="77777777" w:rsidTr="00750A2F">
        <w:tc>
          <w:tcPr>
            <w:tcW w:w="2265" w:type="dxa"/>
          </w:tcPr>
          <w:p w14:paraId="74A7BB2C" w14:textId="6BCDDD47" w:rsidR="00264AE7" w:rsidRPr="00AF3CAA" w:rsidRDefault="00264AE7" w:rsidP="00264AE7">
            <w:pPr>
              <w:rPr>
                <w:rFonts w:ascii="Times New Roman" w:hAnsi="Times New Roman" w:cs="Times New Roman"/>
                <w:i/>
                <w:iCs/>
                <w:sz w:val="20"/>
                <w:szCs w:val="20"/>
                <w:lang w:val="en-GB"/>
              </w:rPr>
            </w:pPr>
            <w:r w:rsidRPr="00AF3CAA">
              <w:rPr>
                <w:rFonts w:ascii="Times New Roman" w:hAnsi="Times New Roman" w:cs="Times New Roman"/>
                <w:i/>
                <w:iCs/>
                <w:sz w:val="20"/>
                <w:szCs w:val="20"/>
                <w:lang w:val="en-GB"/>
              </w:rPr>
              <w:t xml:space="preserve">Social-norm leadership for </w:t>
            </w:r>
            <w:r w:rsidR="005C0580" w:rsidRPr="00AF3CAA">
              <w:rPr>
                <w:rFonts w:ascii="Times New Roman" w:hAnsi="Times New Roman" w:cs="Times New Roman"/>
                <w:i/>
                <w:iCs/>
                <w:sz w:val="20"/>
                <w:szCs w:val="20"/>
                <w:lang w:val="en-GB"/>
              </w:rPr>
              <w:t>the smaller sector</w:t>
            </w:r>
          </w:p>
        </w:tc>
        <w:tc>
          <w:tcPr>
            <w:tcW w:w="2265" w:type="dxa"/>
          </w:tcPr>
          <w:p w14:paraId="61C48C94" w14:textId="0F36DBEC" w:rsidR="00264AE7" w:rsidRPr="00AF3CAA" w:rsidRDefault="00FF7225" w:rsidP="00FF7225">
            <w:pPr>
              <w:rPr>
                <w:rFonts w:ascii="Times New Roman" w:hAnsi="Times New Roman" w:cs="Times New Roman"/>
                <w:i/>
                <w:iCs/>
                <w:sz w:val="20"/>
                <w:szCs w:val="20"/>
                <w:lang w:val="en-GB"/>
              </w:rPr>
            </w:pPr>
            <w:r w:rsidRPr="00AF3CAA">
              <w:rPr>
                <w:rFonts w:ascii="Times New Roman" w:hAnsi="Times New Roman" w:cs="Times New Roman"/>
                <w:sz w:val="20"/>
                <w:szCs w:val="20"/>
                <w:lang w:val="en-GB"/>
              </w:rPr>
              <w:t>Lower wage in the leader sector and higher aggregate employment than in other equilibria.</w:t>
            </w:r>
          </w:p>
        </w:tc>
        <w:tc>
          <w:tcPr>
            <w:tcW w:w="2266" w:type="dxa"/>
          </w:tcPr>
          <w:p w14:paraId="4C5204DF" w14:textId="5E2C50F3" w:rsidR="00264AE7" w:rsidRPr="00AF3CAA" w:rsidRDefault="00264AE7" w:rsidP="000944A0">
            <w:pPr>
              <w:rPr>
                <w:rFonts w:ascii="Times New Roman" w:hAnsi="Times New Roman" w:cs="Times New Roman"/>
                <w:sz w:val="20"/>
                <w:szCs w:val="20"/>
                <w:lang w:val="en-GB"/>
              </w:rPr>
            </w:pPr>
          </w:p>
        </w:tc>
        <w:tc>
          <w:tcPr>
            <w:tcW w:w="2266" w:type="dxa"/>
          </w:tcPr>
          <w:p w14:paraId="0191C990" w14:textId="77777777" w:rsidR="00264AE7" w:rsidRPr="00AF3CAA" w:rsidRDefault="00264AE7" w:rsidP="00264AE7">
            <w:pPr>
              <w:spacing w:line="360" w:lineRule="auto"/>
              <w:jc w:val="both"/>
              <w:rPr>
                <w:rFonts w:ascii="Times New Roman" w:hAnsi="Times New Roman" w:cs="Times New Roman"/>
                <w:i/>
                <w:iCs/>
                <w:sz w:val="20"/>
                <w:szCs w:val="20"/>
                <w:lang w:val="en-GB"/>
              </w:rPr>
            </w:pPr>
          </w:p>
        </w:tc>
      </w:tr>
    </w:tbl>
    <w:p w14:paraId="0B798AA6" w14:textId="48F87A2C" w:rsidR="004669E0" w:rsidRPr="00AF3CAA" w:rsidRDefault="005928E7" w:rsidP="002D4F3C">
      <w:pPr>
        <w:spacing w:line="360" w:lineRule="auto"/>
        <w:jc w:val="both"/>
        <w:rPr>
          <w:rFonts w:ascii="Times New Roman" w:hAnsi="Times New Roman" w:cs="Times New Roman"/>
          <w:i/>
          <w:iCs/>
          <w:sz w:val="20"/>
          <w:szCs w:val="20"/>
          <w:lang w:val="en-GB"/>
        </w:rPr>
      </w:pPr>
      <w:r w:rsidRPr="00AF3CAA">
        <w:rPr>
          <w:rFonts w:ascii="Times New Roman" w:hAnsi="Times New Roman" w:cs="Times New Roman"/>
          <w:i/>
          <w:iCs/>
          <w:sz w:val="20"/>
          <w:szCs w:val="20"/>
          <w:lang w:val="en-GB"/>
        </w:rPr>
        <w:t xml:space="preserve"> </w:t>
      </w:r>
    </w:p>
    <w:p w14:paraId="777193FE" w14:textId="5482D69D" w:rsidR="00B25B1E" w:rsidRPr="00376515" w:rsidRDefault="00B25B1E" w:rsidP="00CF4AC7">
      <w:pPr>
        <w:spacing w:line="360" w:lineRule="auto"/>
        <w:jc w:val="both"/>
        <w:rPr>
          <w:rFonts w:ascii="Times New Roman" w:hAnsi="Times New Roman" w:cs="Times New Roman"/>
          <w:sz w:val="24"/>
          <w:szCs w:val="24"/>
          <w:lang w:val="en-GB"/>
        </w:rPr>
      </w:pPr>
      <w:r w:rsidRPr="00376515">
        <w:rPr>
          <w:rFonts w:ascii="Times New Roman" w:hAnsi="Times New Roman" w:cs="Times New Roman"/>
          <w:sz w:val="24"/>
          <w:szCs w:val="24"/>
          <w:lang w:val="en-GB"/>
        </w:rPr>
        <w:t>Overall</w:t>
      </w:r>
      <w:r w:rsidR="00376515">
        <w:rPr>
          <w:rFonts w:ascii="Times New Roman" w:hAnsi="Times New Roman" w:cs="Times New Roman"/>
          <w:sz w:val="24"/>
          <w:szCs w:val="24"/>
          <w:lang w:val="en-GB"/>
        </w:rPr>
        <w:t xml:space="preserve">, </w:t>
      </w:r>
      <w:r w:rsidR="00F7359E">
        <w:rPr>
          <w:rFonts w:ascii="Times New Roman" w:hAnsi="Times New Roman" w:cs="Times New Roman"/>
          <w:sz w:val="24"/>
          <w:szCs w:val="24"/>
          <w:lang w:val="en-GB"/>
        </w:rPr>
        <w:t>t</w:t>
      </w:r>
      <w:r w:rsidR="00376515">
        <w:rPr>
          <w:rFonts w:ascii="Times New Roman" w:hAnsi="Times New Roman" w:cs="Times New Roman"/>
          <w:sz w:val="24"/>
          <w:szCs w:val="24"/>
          <w:lang w:val="en-GB"/>
        </w:rPr>
        <w:t xml:space="preserve">here </w:t>
      </w:r>
      <w:r w:rsidR="00F7359E">
        <w:rPr>
          <w:rFonts w:ascii="Times New Roman" w:hAnsi="Times New Roman" w:cs="Times New Roman"/>
          <w:sz w:val="24"/>
          <w:szCs w:val="24"/>
          <w:lang w:val="en-GB"/>
        </w:rPr>
        <w:t>appears to be</w:t>
      </w:r>
      <w:r w:rsidR="00514965">
        <w:rPr>
          <w:rFonts w:ascii="Times New Roman" w:hAnsi="Times New Roman" w:cs="Times New Roman"/>
          <w:sz w:val="24"/>
          <w:szCs w:val="24"/>
          <w:lang w:val="en-GB"/>
        </w:rPr>
        <w:t xml:space="preserve"> a dissonance between </w:t>
      </w:r>
      <w:r w:rsidR="00E11385">
        <w:rPr>
          <w:rFonts w:ascii="Times New Roman" w:hAnsi="Times New Roman" w:cs="Times New Roman"/>
          <w:sz w:val="24"/>
          <w:szCs w:val="24"/>
          <w:lang w:val="en-GB"/>
        </w:rPr>
        <w:t xml:space="preserve">the strong belief </w:t>
      </w:r>
      <w:r w:rsidR="0030463B">
        <w:rPr>
          <w:rFonts w:ascii="Times New Roman" w:hAnsi="Times New Roman" w:cs="Times New Roman"/>
          <w:sz w:val="24"/>
          <w:szCs w:val="24"/>
          <w:lang w:val="en-GB"/>
        </w:rPr>
        <w:t>of practi</w:t>
      </w:r>
      <w:r w:rsidR="00C55F5A">
        <w:rPr>
          <w:rFonts w:ascii="Times New Roman" w:hAnsi="Times New Roman" w:cs="Times New Roman"/>
          <w:sz w:val="24"/>
          <w:szCs w:val="24"/>
          <w:lang w:val="en-GB"/>
        </w:rPr>
        <w:t>ti</w:t>
      </w:r>
      <w:r w:rsidR="0030463B">
        <w:rPr>
          <w:rFonts w:ascii="Times New Roman" w:hAnsi="Times New Roman" w:cs="Times New Roman"/>
          <w:sz w:val="24"/>
          <w:szCs w:val="24"/>
          <w:lang w:val="en-GB"/>
        </w:rPr>
        <w:t xml:space="preserve">oners </w:t>
      </w:r>
      <w:r w:rsidR="00F7359E">
        <w:rPr>
          <w:rFonts w:ascii="Times New Roman" w:hAnsi="Times New Roman" w:cs="Times New Roman"/>
          <w:sz w:val="24"/>
          <w:szCs w:val="24"/>
          <w:lang w:val="en-GB"/>
        </w:rPr>
        <w:t xml:space="preserve">in the merits of pattern setting by the tradables sector and </w:t>
      </w:r>
      <w:r w:rsidR="00CF4AC7">
        <w:rPr>
          <w:rFonts w:ascii="Times New Roman" w:hAnsi="Times New Roman" w:cs="Times New Roman"/>
          <w:sz w:val="24"/>
          <w:szCs w:val="24"/>
          <w:lang w:val="en-GB"/>
        </w:rPr>
        <w:t>conclusions based on standard theoretical considerations.</w:t>
      </w:r>
      <w:r w:rsidR="00122000">
        <w:rPr>
          <w:rFonts w:ascii="Times New Roman" w:hAnsi="Times New Roman" w:cs="Times New Roman"/>
          <w:sz w:val="24"/>
          <w:szCs w:val="24"/>
          <w:lang w:val="en-GB"/>
        </w:rPr>
        <w:t xml:space="preserve"> Thi</w:t>
      </w:r>
      <w:r w:rsidR="00C55F5A">
        <w:rPr>
          <w:rFonts w:ascii="Times New Roman" w:hAnsi="Times New Roman" w:cs="Times New Roman"/>
          <w:sz w:val="24"/>
          <w:szCs w:val="24"/>
          <w:lang w:val="en-GB"/>
        </w:rPr>
        <w:t>s</w:t>
      </w:r>
      <w:r w:rsidR="00512D48">
        <w:rPr>
          <w:rFonts w:ascii="Times New Roman" w:hAnsi="Times New Roman" w:cs="Times New Roman"/>
          <w:sz w:val="24"/>
          <w:szCs w:val="24"/>
          <w:lang w:val="en-GB"/>
        </w:rPr>
        <w:t xml:space="preserve"> is </w:t>
      </w:r>
      <w:r w:rsidR="00532535">
        <w:rPr>
          <w:rFonts w:ascii="Times New Roman" w:hAnsi="Times New Roman" w:cs="Times New Roman"/>
          <w:sz w:val="24"/>
          <w:szCs w:val="24"/>
          <w:lang w:val="en-GB"/>
        </w:rPr>
        <w:t xml:space="preserve">somewhat worrying. </w:t>
      </w:r>
      <w:r w:rsidR="003D423D">
        <w:rPr>
          <w:rFonts w:ascii="Times New Roman" w:hAnsi="Times New Roman" w:cs="Times New Roman"/>
          <w:sz w:val="24"/>
          <w:szCs w:val="24"/>
          <w:lang w:val="en-GB"/>
        </w:rPr>
        <w:t xml:space="preserve">It could reflect that also </w:t>
      </w:r>
      <w:r w:rsidR="00656255">
        <w:rPr>
          <w:rFonts w:ascii="Times New Roman" w:hAnsi="Times New Roman" w:cs="Times New Roman"/>
          <w:sz w:val="24"/>
          <w:szCs w:val="24"/>
          <w:lang w:val="en-GB"/>
        </w:rPr>
        <w:t>other</w:t>
      </w:r>
      <w:r w:rsidR="003D423D">
        <w:rPr>
          <w:rFonts w:ascii="Times New Roman" w:hAnsi="Times New Roman" w:cs="Times New Roman"/>
          <w:sz w:val="24"/>
          <w:szCs w:val="24"/>
          <w:lang w:val="en-GB"/>
        </w:rPr>
        <w:t xml:space="preserve"> </w:t>
      </w:r>
      <w:r w:rsidR="00800DDD">
        <w:rPr>
          <w:rFonts w:ascii="Times New Roman" w:hAnsi="Times New Roman" w:cs="Times New Roman"/>
          <w:sz w:val="24"/>
          <w:szCs w:val="24"/>
          <w:lang w:val="en-GB"/>
        </w:rPr>
        <w:t xml:space="preserve">forms of pattern bargaining </w:t>
      </w:r>
      <w:r w:rsidR="004869CA">
        <w:rPr>
          <w:rFonts w:ascii="Times New Roman" w:hAnsi="Times New Roman" w:cs="Times New Roman"/>
          <w:sz w:val="24"/>
          <w:szCs w:val="24"/>
          <w:lang w:val="en-GB"/>
        </w:rPr>
        <w:t>could deliver wage restraint.</w:t>
      </w:r>
      <w:r w:rsidR="00E541D1">
        <w:rPr>
          <w:rFonts w:ascii="Times New Roman" w:hAnsi="Times New Roman" w:cs="Times New Roman"/>
          <w:sz w:val="24"/>
          <w:szCs w:val="24"/>
          <w:lang w:val="en-GB"/>
        </w:rPr>
        <w:t xml:space="preserve"> An alternative interpretation is that </w:t>
      </w:r>
      <w:r w:rsidR="005B36EC">
        <w:rPr>
          <w:rFonts w:ascii="Times New Roman" w:hAnsi="Times New Roman" w:cs="Times New Roman"/>
          <w:sz w:val="24"/>
          <w:szCs w:val="24"/>
          <w:lang w:val="en-GB"/>
        </w:rPr>
        <w:t>the theoretical models</w:t>
      </w:r>
      <w:r w:rsidR="00E541D1">
        <w:rPr>
          <w:rFonts w:ascii="Times New Roman" w:hAnsi="Times New Roman" w:cs="Times New Roman"/>
          <w:sz w:val="24"/>
          <w:szCs w:val="24"/>
          <w:lang w:val="en-GB"/>
        </w:rPr>
        <w:t xml:space="preserve"> </w:t>
      </w:r>
      <w:r w:rsidR="00184B44">
        <w:rPr>
          <w:rFonts w:ascii="Times New Roman" w:hAnsi="Times New Roman" w:cs="Times New Roman"/>
          <w:sz w:val="24"/>
          <w:szCs w:val="24"/>
          <w:lang w:val="en-GB"/>
        </w:rPr>
        <w:t xml:space="preserve">do not take important factors into account, </w:t>
      </w:r>
      <w:r w:rsidR="00BC11BD">
        <w:rPr>
          <w:rFonts w:ascii="Times New Roman" w:hAnsi="Times New Roman" w:cs="Times New Roman"/>
          <w:sz w:val="24"/>
          <w:szCs w:val="24"/>
          <w:lang w:val="en-GB"/>
        </w:rPr>
        <w:t xml:space="preserve">such as, for example, </w:t>
      </w:r>
      <w:r w:rsidR="000632FF">
        <w:rPr>
          <w:rFonts w:ascii="Times New Roman" w:hAnsi="Times New Roman" w:cs="Times New Roman"/>
          <w:sz w:val="24"/>
          <w:szCs w:val="24"/>
          <w:lang w:val="en-GB"/>
        </w:rPr>
        <w:t>different perceptions of the consequences of high wage increases</w:t>
      </w:r>
      <w:r w:rsidR="002E40D5">
        <w:rPr>
          <w:rFonts w:ascii="Times New Roman" w:hAnsi="Times New Roman" w:cs="Times New Roman"/>
          <w:sz w:val="24"/>
          <w:szCs w:val="24"/>
          <w:lang w:val="en-GB"/>
        </w:rPr>
        <w:t xml:space="preserve"> in </w:t>
      </w:r>
      <w:r w:rsidR="008422D4">
        <w:rPr>
          <w:rFonts w:ascii="Times New Roman" w:hAnsi="Times New Roman" w:cs="Times New Roman"/>
          <w:sz w:val="24"/>
          <w:szCs w:val="24"/>
          <w:lang w:val="en-GB"/>
        </w:rPr>
        <w:t xml:space="preserve">tradables sector and </w:t>
      </w:r>
      <w:r w:rsidR="00DB1C3F">
        <w:rPr>
          <w:rFonts w:ascii="Times New Roman" w:hAnsi="Times New Roman" w:cs="Times New Roman"/>
          <w:sz w:val="24"/>
          <w:szCs w:val="24"/>
          <w:lang w:val="en-GB"/>
        </w:rPr>
        <w:t xml:space="preserve">in </w:t>
      </w:r>
      <w:r w:rsidR="008422D4">
        <w:rPr>
          <w:rFonts w:ascii="Times New Roman" w:hAnsi="Times New Roman" w:cs="Times New Roman"/>
          <w:sz w:val="24"/>
          <w:szCs w:val="24"/>
          <w:lang w:val="en-GB"/>
        </w:rPr>
        <w:t xml:space="preserve">nontradables sector unions: </w:t>
      </w:r>
      <w:r w:rsidR="00AD5009">
        <w:rPr>
          <w:rFonts w:ascii="Times New Roman" w:hAnsi="Times New Roman" w:cs="Times New Roman"/>
          <w:sz w:val="24"/>
          <w:szCs w:val="24"/>
          <w:lang w:val="en-GB"/>
        </w:rPr>
        <w:t>on the basis of anecdotical evidence one might hypothesise that the former are more neoclassical</w:t>
      </w:r>
      <w:r w:rsidR="00826212">
        <w:rPr>
          <w:rFonts w:ascii="Times New Roman" w:hAnsi="Times New Roman" w:cs="Times New Roman"/>
          <w:sz w:val="24"/>
          <w:szCs w:val="24"/>
          <w:lang w:val="en-GB"/>
        </w:rPr>
        <w:t xml:space="preserve"> in their outlook</w:t>
      </w:r>
      <w:r w:rsidR="00C32E14">
        <w:rPr>
          <w:rFonts w:ascii="Times New Roman" w:hAnsi="Times New Roman" w:cs="Times New Roman"/>
          <w:sz w:val="24"/>
          <w:szCs w:val="24"/>
          <w:lang w:val="en-GB"/>
        </w:rPr>
        <w:t xml:space="preserve"> (with </w:t>
      </w:r>
      <w:r w:rsidR="00CC7774">
        <w:rPr>
          <w:rFonts w:ascii="Times New Roman" w:hAnsi="Times New Roman" w:cs="Times New Roman"/>
          <w:sz w:val="24"/>
          <w:szCs w:val="24"/>
          <w:lang w:val="en-GB"/>
        </w:rPr>
        <w:t xml:space="preserve">a greater focus on cost aspects) and the latter </w:t>
      </w:r>
      <w:r w:rsidR="00C46AE1">
        <w:rPr>
          <w:rFonts w:ascii="Times New Roman" w:hAnsi="Times New Roman" w:cs="Times New Roman"/>
          <w:sz w:val="24"/>
          <w:szCs w:val="24"/>
          <w:lang w:val="en-GB"/>
        </w:rPr>
        <w:t xml:space="preserve">more Keynesian (with a focus also on positive demand effects of </w:t>
      </w:r>
      <w:r w:rsidR="00742D3F">
        <w:rPr>
          <w:rFonts w:ascii="Times New Roman" w:hAnsi="Times New Roman" w:cs="Times New Roman"/>
          <w:sz w:val="24"/>
          <w:szCs w:val="24"/>
          <w:lang w:val="en-GB"/>
        </w:rPr>
        <w:t>higher wage income).</w:t>
      </w:r>
      <w:r w:rsidR="008E7423">
        <w:rPr>
          <w:rStyle w:val="FootnoteReference"/>
          <w:rFonts w:ascii="Times New Roman" w:hAnsi="Times New Roman" w:cs="Times New Roman"/>
          <w:sz w:val="24"/>
          <w:szCs w:val="24"/>
          <w:lang w:val="en-GB"/>
        </w:rPr>
        <w:footnoteReference w:id="35"/>
      </w:r>
      <w:r w:rsidR="00742D3F">
        <w:rPr>
          <w:rFonts w:ascii="Times New Roman" w:hAnsi="Times New Roman" w:cs="Times New Roman"/>
          <w:sz w:val="24"/>
          <w:szCs w:val="24"/>
          <w:lang w:val="en-GB"/>
        </w:rPr>
        <w:t xml:space="preserve"> </w:t>
      </w:r>
      <w:r w:rsidR="002E40D5">
        <w:rPr>
          <w:rFonts w:ascii="Times New Roman" w:hAnsi="Times New Roman" w:cs="Times New Roman"/>
          <w:sz w:val="24"/>
          <w:szCs w:val="24"/>
          <w:lang w:val="en-GB"/>
        </w:rPr>
        <w:t xml:space="preserve"> </w:t>
      </w:r>
    </w:p>
    <w:p w14:paraId="155AF22C" w14:textId="074E22A2" w:rsidR="00F022FF" w:rsidRDefault="000C7982" w:rsidP="009B59DD">
      <w:pPr>
        <w:pStyle w:val="Heading1"/>
        <w:rPr>
          <w:lang w:val="en-GB"/>
        </w:rPr>
      </w:pPr>
      <w:r>
        <w:rPr>
          <w:lang w:val="en-GB"/>
        </w:rPr>
        <w:t>6</w:t>
      </w:r>
      <w:r w:rsidR="009B59DD">
        <w:rPr>
          <w:lang w:val="en-GB"/>
        </w:rPr>
        <w:t xml:space="preserve"> The size of the tradables sector an</w:t>
      </w:r>
      <w:r w:rsidR="00B25C54">
        <w:rPr>
          <w:lang w:val="en-GB"/>
        </w:rPr>
        <w:t xml:space="preserve">d </w:t>
      </w:r>
      <w:r w:rsidR="00594FD8">
        <w:rPr>
          <w:lang w:val="en-GB"/>
        </w:rPr>
        <w:t>labour re</w:t>
      </w:r>
      <w:r w:rsidR="00B25C54">
        <w:rPr>
          <w:lang w:val="en-GB"/>
        </w:rPr>
        <w:t xml:space="preserve">allocation </w:t>
      </w:r>
    </w:p>
    <w:p w14:paraId="0096A501" w14:textId="4CBDC7D7" w:rsidR="009211C8" w:rsidRDefault="00F9549B" w:rsidP="00D07C2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Section </w:t>
      </w:r>
      <w:r w:rsidR="000C7982">
        <w:rPr>
          <w:rFonts w:ascii="Times New Roman" w:hAnsi="Times New Roman" w:cs="Times New Roman"/>
          <w:sz w:val="24"/>
          <w:szCs w:val="24"/>
          <w:lang w:val="en-GB"/>
        </w:rPr>
        <w:t>5</w:t>
      </w:r>
      <w:r w:rsidR="001D64EE">
        <w:rPr>
          <w:rFonts w:ascii="Times New Roman" w:hAnsi="Times New Roman" w:cs="Times New Roman"/>
          <w:sz w:val="24"/>
          <w:szCs w:val="24"/>
          <w:lang w:val="en-GB"/>
        </w:rPr>
        <w:t xml:space="preserve"> discussed </w:t>
      </w:r>
      <w:r w:rsidR="00364F3B">
        <w:rPr>
          <w:rFonts w:ascii="Times New Roman" w:hAnsi="Times New Roman" w:cs="Times New Roman"/>
          <w:sz w:val="24"/>
          <w:szCs w:val="24"/>
          <w:lang w:val="en-GB"/>
        </w:rPr>
        <w:t>whether</w:t>
      </w:r>
      <w:r w:rsidR="001D64EE">
        <w:rPr>
          <w:rFonts w:ascii="Times New Roman" w:hAnsi="Times New Roman" w:cs="Times New Roman"/>
          <w:sz w:val="24"/>
          <w:szCs w:val="24"/>
          <w:lang w:val="en-GB"/>
        </w:rPr>
        <w:t xml:space="preserve"> wage leadership for the tradables sector promotes </w:t>
      </w:r>
      <w:r w:rsidR="00D07C26">
        <w:rPr>
          <w:rFonts w:ascii="Times New Roman" w:hAnsi="Times New Roman" w:cs="Times New Roman"/>
          <w:sz w:val="24"/>
          <w:szCs w:val="24"/>
          <w:lang w:val="en-GB"/>
        </w:rPr>
        <w:t>wage restraint and employment.</w:t>
      </w:r>
      <w:r w:rsidR="00AA6A9E">
        <w:rPr>
          <w:rFonts w:ascii="Times New Roman" w:hAnsi="Times New Roman" w:cs="Times New Roman"/>
          <w:sz w:val="24"/>
          <w:szCs w:val="24"/>
          <w:lang w:val="en-GB"/>
        </w:rPr>
        <w:t xml:space="preserve"> Another common</w:t>
      </w:r>
      <w:r w:rsidR="00D13A7C">
        <w:rPr>
          <w:rFonts w:ascii="Times New Roman" w:hAnsi="Times New Roman" w:cs="Times New Roman"/>
          <w:sz w:val="24"/>
          <w:szCs w:val="24"/>
          <w:lang w:val="en-GB"/>
        </w:rPr>
        <w:t xml:space="preserve"> argument</w:t>
      </w:r>
      <w:r w:rsidR="00AA6A9E">
        <w:rPr>
          <w:rFonts w:ascii="Times New Roman" w:hAnsi="Times New Roman" w:cs="Times New Roman"/>
          <w:sz w:val="24"/>
          <w:szCs w:val="24"/>
          <w:lang w:val="en-GB"/>
        </w:rPr>
        <w:t xml:space="preserve"> </w:t>
      </w:r>
      <w:r w:rsidR="00BF0EB4">
        <w:rPr>
          <w:rFonts w:ascii="Times New Roman" w:hAnsi="Times New Roman" w:cs="Times New Roman"/>
          <w:sz w:val="24"/>
          <w:szCs w:val="24"/>
          <w:lang w:val="en-GB"/>
        </w:rPr>
        <w:t xml:space="preserve">for </w:t>
      </w:r>
      <w:r w:rsidR="004549DA">
        <w:rPr>
          <w:rFonts w:ascii="Times New Roman" w:hAnsi="Times New Roman" w:cs="Times New Roman"/>
          <w:sz w:val="24"/>
          <w:szCs w:val="24"/>
          <w:lang w:val="en-GB"/>
        </w:rPr>
        <w:t>why</w:t>
      </w:r>
      <w:r w:rsidR="00B72A49">
        <w:rPr>
          <w:rFonts w:ascii="Times New Roman" w:hAnsi="Times New Roman" w:cs="Times New Roman"/>
          <w:sz w:val="24"/>
          <w:szCs w:val="24"/>
          <w:lang w:val="en-GB"/>
        </w:rPr>
        <w:t xml:space="preserve"> </w:t>
      </w:r>
      <w:r w:rsidR="007F643A">
        <w:rPr>
          <w:rFonts w:ascii="Times New Roman" w:hAnsi="Times New Roman" w:cs="Times New Roman"/>
          <w:sz w:val="24"/>
          <w:szCs w:val="24"/>
          <w:lang w:val="en-GB"/>
        </w:rPr>
        <w:t>international</w:t>
      </w:r>
      <w:r w:rsidR="0069172C">
        <w:rPr>
          <w:rFonts w:ascii="Times New Roman" w:hAnsi="Times New Roman" w:cs="Times New Roman"/>
          <w:sz w:val="24"/>
          <w:szCs w:val="24"/>
          <w:lang w:val="en-GB"/>
        </w:rPr>
        <w:t>-</w:t>
      </w:r>
      <w:r w:rsidR="007F643A">
        <w:rPr>
          <w:rFonts w:ascii="Times New Roman" w:hAnsi="Times New Roman" w:cs="Times New Roman"/>
          <w:sz w:val="24"/>
          <w:szCs w:val="24"/>
          <w:lang w:val="en-GB"/>
        </w:rPr>
        <w:t>competitiveness concerns should determine wage increases</w:t>
      </w:r>
      <w:r w:rsidR="00B72A49">
        <w:rPr>
          <w:rFonts w:ascii="Times New Roman" w:hAnsi="Times New Roman" w:cs="Times New Roman"/>
          <w:sz w:val="24"/>
          <w:szCs w:val="24"/>
          <w:lang w:val="en-GB"/>
        </w:rPr>
        <w:t xml:space="preserve"> </w:t>
      </w:r>
      <w:r w:rsidR="00FD6189">
        <w:rPr>
          <w:rFonts w:ascii="Times New Roman" w:hAnsi="Times New Roman" w:cs="Times New Roman"/>
          <w:sz w:val="24"/>
          <w:szCs w:val="24"/>
          <w:lang w:val="en-GB"/>
        </w:rPr>
        <w:t xml:space="preserve">is that </w:t>
      </w:r>
      <w:r w:rsidR="003019C2">
        <w:rPr>
          <w:rFonts w:ascii="Times New Roman" w:hAnsi="Times New Roman" w:cs="Times New Roman"/>
          <w:sz w:val="24"/>
          <w:szCs w:val="24"/>
          <w:lang w:val="en-GB"/>
        </w:rPr>
        <w:t xml:space="preserve">this </w:t>
      </w:r>
      <w:r w:rsidR="001A589F">
        <w:rPr>
          <w:rFonts w:ascii="Times New Roman" w:hAnsi="Times New Roman" w:cs="Times New Roman"/>
          <w:sz w:val="24"/>
          <w:szCs w:val="24"/>
          <w:lang w:val="en-GB"/>
        </w:rPr>
        <w:t xml:space="preserve">is required for </w:t>
      </w:r>
      <w:r w:rsidR="002165F8">
        <w:rPr>
          <w:rFonts w:ascii="Times New Roman" w:hAnsi="Times New Roman" w:cs="Times New Roman"/>
          <w:sz w:val="24"/>
          <w:szCs w:val="24"/>
          <w:lang w:val="en-GB"/>
        </w:rPr>
        <w:t>maintaining an appropriate si</w:t>
      </w:r>
      <w:r w:rsidR="00512D5B">
        <w:rPr>
          <w:rFonts w:ascii="Times New Roman" w:hAnsi="Times New Roman" w:cs="Times New Roman"/>
          <w:sz w:val="24"/>
          <w:szCs w:val="24"/>
          <w:lang w:val="en-GB"/>
        </w:rPr>
        <w:t>ze</w:t>
      </w:r>
      <w:r w:rsidR="001A6FAB">
        <w:rPr>
          <w:rFonts w:ascii="Times New Roman" w:hAnsi="Times New Roman" w:cs="Times New Roman"/>
          <w:sz w:val="24"/>
          <w:szCs w:val="24"/>
          <w:lang w:val="en-GB"/>
        </w:rPr>
        <w:t xml:space="preserve"> of the tradables sec</w:t>
      </w:r>
      <w:r w:rsidR="00DD0652">
        <w:rPr>
          <w:rFonts w:ascii="Times New Roman" w:hAnsi="Times New Roman" w:cs="Times New Roman"/>
          <w:sz w:val="24"/>
          <w:szCs w:val="24"/>
          <w:lang w:val="en-GB"/>
        </w:rPr>
        <w:t>tor</w:t>
      </w:r>
      <w:r w:rsidR="00512D5B">
        <w:rPr>
          <w:rFonts w:ascii="Times New Roman" w:hAnsi="Times New Roman" w:cs="Times New Roman"/>
          <w:sz w:val="24"/>
          <w:szCs w:val="24"/>
          <w:lang w:val="en-GB"/>
        </w:rPr>
        <w:t xml:space="preserve"> </w:t>
      </w:r>
      <w:r w:rsidR="00052E80">
        <w:rPr>
          <w:rFonts w:ascii="Times New Roman" w:hAnsi="Times New Roman" w:cs="Times New Roman"/>
          <w:sz w:val="24"/>
          <w:szCs w:val="24"/>
          <w:lang w:val="en-GB"/>
        </w:rPr>
        <w:t>(Aukrust</w:t>
      </w:r>
      <w:r w:rsidR="00DD0652">
        <w:rPr>
          <w:rFonts w:ascii="Times New Roman" w:hAnsi="Times New Roman" w:cs="Times New Roman"/>
          <w:sz w:val="24"/>
          <w:szCs w:val="24"/>
          <w:lang w:val="en-GB"/>
        </w:rPr>
        <w:t>,</w:t>
      </w:r>
      <w:r w:rsidR="00052E80">
        <w:rPr>
          <w:rFonts w:ascii="Times New Roman" w:hAnsi="Times New Roman" w:cs="Times New Roman"/>
          <w:sz w:val="24"/>
          <w:szCs w:val="24"/>
          <w:lang w:val="en-GB"/>
        </w:rPr>
        <w:t xml:space="preserve"> 1977</w:t>
      </w:r>
      <w:r w:rsidR="00DD0652">
        <w:rPr>
          <w:rFonts w:ascii="Times New Roman" w:hAnsi="Times New Roman" w:cs="Times New Roman"/>
          <w:sz w:val="24"/>
          <w:szCs w:val="24"/>
          <w:lang w:val="en-GB"/>
        </w:rPr>
        <w:t>;</w:t>
      </w:r>
      <w:r w:rsidR="00052E80">
        <w:rPr>
          <w:rFonts w:ascii="Times New Roman" w:hAnsi="Times New Roman" w:cs="Times New Roman"/>
          <w:sz w:val="24"/>
          <w:szCs w:val="24"/>
          <w:lang w:val="en-GB"/>
        </w:rPr>
        <w:t xml:space="preserve"> Holden IV-utvalget</w:t>
      </w:r>
      <w:r w:rsidR="00DD0652">
        <w:rPr>
          <w:rFonts w:ascii="Times New Roman" w:hAnsi="Times New Roman" w:cs="Times New Roman"/>
          <w:sz w:val="24"/>
          <w:szCs w:val="24"/>
          <w:lang w:val="en-GB"/>
        </w:rPr>
        <w:t>, 2023</w:t>
      </w:r>
      <w:r w:rsidR="00052E80">
        <w:rPr>
          <w:rFonts w:ascii="Times New Roman" w:hAnsi="Times New Roman" w:cs="Times New Roman"/>
          <w:sz w:val="24"/>
          <w:szCs w:val="24"/>
          <w:lang w:val="en-GB"/>
        </w:rPr>
        <w:t>)</w:t>
      </w:r>
      <w:r w:rsidR="00DD0652">
        <w:rPr>
          <w:rFonts w:ascii="Times New Roman" w:hAnsi="Times New Roman" w:cs="Times New Roman"/>
          <w:sz w:val="24"/>
          <w:szCs w:val="24"/>
          <w:lang w:val="en-GB"/>
        </w:rPr>
        <w:t>.</w:t>
      </w:r>
      <w:r w:rsidR="00D741B7">
        <w:rPr>
          <w:rFonts w:ascii="Times New Roman" w:hAnsi="Times New Roman" w:cs="Times New Roman"/>
          <w:sz w:val="24"/>
          <w:szCs w:val="24"/>
          <w:lang w:val="en-GB"/>
        </w:rPr>
        <w:t xml:space="preserve"> </w:t>
      </w:r>
      <w:r w:rsidR="002E0EB6">
        <w:rPr>
          <w:rFonts w:ascii="Times New Roman" w:hAnsi="Times New Roman" w:cs="Times New Roman"/>
          <w:sz w:val="24"/>
          <w:szCs w:val="24"/>
          <w:lang w:val="en-GB"/>
        </w:rPr>
        <w:t>Consistent</w:t>
      </w:r>
      <w:r w:rsidR="00A67AB2">
        <w:rPr>
          <w:rFonts w:ascii="Times New Roman" w:hAnsi="Times New Roman" w:cs="Times New Roman"/>
          <w:sz w:val="24"/>
          <w:szCs w:val="24"/>
          <w:lang w:val="en-GB"/>
        </w:rPr>
        <w:t xml:space="preserve"> wage increas</w:t>
      </w:r>
      <w:r w:rsidR="00C66243">
        <w:rPr>
          <w:rFonts w:ascii="Times New Roman" w:hAnsi="Times New Roman" w:cs="Times New Roman"/>
          <w:sz w:val="24"/>
          <w:szCs w:val="24"/>
          <w:lang w:val="en-GB"/>
        </w:rPr>
        <w:t xml:space="preserve">es </w:t>
      </w:r>
      <w:r w:rsidR="002E0EB6">
        <w:rPr>
          <w:rFonts w:ascii="Times New Roman" w:hAnsi="Times New Roman" w:cs="Times New Roman"/>
          <w:sz w:val="24"/>
          <w:szCs w:val="24"/>
          <w:lang w:val="en-GB"/>
        </w:rPr>
        <w:t xml:space="preserve">in </w:t>
      </w:r>
      <w:r w:rsidR="002E0EB6">
        <w:rPr>
          <w:rFonts w:ascii="Times New Roman" w:hAnsi="Times New Roman" w:cs="Times New Roman"/>
          <w:sz w:val="24"/>
          <w:szCs w:val="24"/>
          <w:lang w:val="en-GB"/>
        </w:rPr>
        <w:lastRenderedPageBreak/>
        <w:t>excess of</w:t>
      </w:r>
      <w:r w:rsidR="0092142F">
        <w:rPr>
          <w:rFonts w:ascii="Times New Roman" w:hAnsi="Times New Roman" w:cs="Times New Roman"/>
          <w:sz w:val="24"/>
          <w:szCs w:val="24"/>
          <w:lang w:val="en-GB"/>
        </w:rPr>
        <w:t xml:space="preserve"> </w:t>
      </w:r>
      <w:r w:rsidR="00651F63">
        <w:rPr>
          <w:rFonts w:ascii="Times New Roman" w:hAnsi="Times New Roman" w:cs="Times New Roman"/>
          <w:sz w:val="24"/>
          <w:szCs w:val="24"/>
          <w:lang w:val="en-GB"/>
        </w:rPr>
        <w:t>price and productivity increases in the tradables secto</w:t>
      </w:r>
      <w:r w:rsidR="0006723C">
        <w:rPr>
          <w:rFonts w:ascii="Times New Roman" w:hAnsi="Times New Roman" w:cs="Times New Roman"/>
          <w:sz w:val="24"/>
          <w:szCs w:val="24"/>
          <w:lang w:val="en-GB"/>
        </w:rPr>
        <w:t>r would</w:t>
      </w:r>
      <w:r w:rsidR="002E0EB6">
        <w:rPr>
          <w:rFonts w:ascii="Times New Roman" w:hAnsi="Times New Roman" w:cs="Times New Roman"/>
          <w:sz w:val="24"/>
          <w:szCs w:val="24"/>
          <w:lang w:val="en-GB"/>
        </w:rPr>
        <w:t xml:space="preserve"> obviously</w:t>
      </w:r>
      <w:r w:rsidR="0006723C">
        <w:rPr>
          <w:rFonts w:ascii="Times New Roman" w:hAnsi="Times New Roman" w:cs="Times New Roman"/>
          <w:sz w:val="24"/>
          <w:szCs w:val="24"/>
          <w:lang w:val="en-GB"/>
        </w:rPr>
        <w:t xml:space="preserve"> cause a</w:t>
      </w:r>
      <w:r w:rsidR="000C7982">
        <w:rPr>
          <w:rFonts w:ascii="Times New Roman" w:hAnsi="Times New Roman" w:cs="Times New Roman"/>
          <w:sz w:val="24"/>
          <w:szCs w:val="24"/>
          <w:lang w:val="en-GB"/>
        </w:rPr>
        <w:t>n</w:t>
      </w:r>
      <w:r w:rsidR="0006723C">
        <w:rPr>
          <w:rFonts w:ascii="Times New Roman" w:hAnsi="Times New Roman" w:cs="Times New Roman"/>
          <w:sz w:val="24"/>
          <w:szCs w:val="24"/>
          <w:lang w:val="en-GB"/>
        </w:rPr>
        <w:t xml:space="preserve"> </w:t>
      </w:r>
      <w:r w:rsidR="000C7982">
        <w:rPr>
          <w:rFonts w:ascii="Times New Roman" w:hAnsi="Times New Roman" w:cs="Times New Roman"/>
          <w:sz w:val="24"/>
          <w:szCs w:val="24"/>
          <w:lang w:val="en-GB"/>
        </w:rPr>
        <w:t xml:space="preserve">untenable </w:t>
      </w:r>
      <w:r w:rsidR="0006723C">
        <w:rPr>
          <w:rFonts w:ascii="Times New Roman" w:hAnsi="Times New Roman" w:cs="Times New Roman"/>
          <w:sz w:val="24"/>
          <w:szCs w:val="24"/>
          <w:lang w:val="en-GB"/>
        </w:rPr>
        <w:t>continuous shrinking of the s</w:t>
      </w:r>
      <w:r w:rsidR="00077B08">
        <w:rPr>
          <w:rFonts w:ascii="Times New Roman" w:hAnsi="Times New Roman" w:cs="Times New Roman"/>
          <w:sz w:val="24"/>
          <w:szCs w:val="24"/>
          <w:lang w:val="en-GB"/>
        </w:rPr>
        <w:t>ector</w:t>
      </w:r>
      <w:r w:rsidR="00024930">
        <w:rPr>
          <w:rFonts w:ascii="Times New Roman" w:hAnsi="Times New Roman" w:cs="Times New Roman"/>
          <w:sz w:val="24"/>
          <w:szCs w:val="24"/>
          <w:lang w:val="en-GB"/>
        </w:rPr>
        <w:t>.</w:t>
      </w:r>
      <w:r w:rsidR="00077B08">
        <w:rPr>
          <w:rFonts w:ascii="Times New Roman" w:hAnsi="Times New Roman" w:cs="Times New Roman"/>
          <w:sz w:val="24"/>
          <w:szCs w:val="24"/>
          <w:lang w:val="en-GB"/>
        </w:rPr>
        <w:t xml:space="preserve"> However,</w:t>
      </w:r>
      <w:r w:rsidR="00063AC6">
        <w:rPr>
          <w:rFonts w:ascii="Times New Roman" w:hAnsi="Times New Roman" w:cs="Times New Roman"/>
          <w:sz w:val="24"/>
          <w:szCs w:val="24"/>
          <w:lang w:val="en-GB"/>
        </w:rPr>
        <w:t xml:space="preserve"> </w:t>
      </w:r>
      <w:r w:rsidR="00024930">
        <w:rPr>
          <w:rFonts w:ascii="Times New Roman" w:hAnsi="Times New Roman" w:cs="Times New Roman"/>
          <w:sz w:val="24"/>
          <w:szCs w:val="24"/>
          <w:lang w:val="en-GB"/>
        </w:rPr>
        <w:t xml:space="preserve">there </w:t>
      </w:r>
      <w:r w:rsidR="009F414D">
        <w:rPr>
          <w:rFonts w:ascii="Times New Roman" w:hAnsi="Times New Roman" w:cs="Times New Roman"/>
          <w:sz w:val="24"/>
          <w:szCs w:val="24"/>
          <w:lang w:val="en-GB"/>
        </w:rPr>
        <w:t>might</w:t>
      </w:r>
      <w:r w:rsidR="00024930">
        <w:rPr>
          <w:rFonts w:ascii="Times New Roman" w:hAnsi="Times New Roman" w:cs="Times New Roman"/>
          <w:sz w:val="24"/>
          <w:szCs w:val="24"/>
          <w:lang w:val="en-GB"/>
        </w:rPr>
        <w:t xml:space="preserve"> be good reasons for </w:t>
      </w:r>
      <w:r w:rsidR="00D66862">
        <w:rPr>
          <w:rFonts w:ascii="Times New Roman" w:hAnsi="Times New Roman" w:cs="Times New Roman"/>
          <w:sz w:val="24"/>
          <w:szCs w:val="24"/>
          <w:lang w:val="en-GB"/>
        </w:rPr>
        <w:t>changes in the size of the tradabl</w:t>
      </w:r>
      <w:r w:rsidR="006E2BDE">
        <w:rPr>
          <w:rFonts w:ascii="Times New Roman" w:hAnsi="Times New Roman" w:cs="Times New Roman"/>
          <w:sz w:val="24"/>
          <w:szCs w:val="24"/>
          <w:lang w:val="en-GB"/>
        </w:rPr>
        <w:t xml:space="preserve">es sector from one </w:t>
      </w:r>
      <w:r w:rsidR="006E2BDE" w:rsidRPr="00DA046A">
        <w:rPr>
          <w:rFonts w:ascii="Times New Roman" w:hAnsi="Times New Roman" w:cs="Times New Roman"/>
          <w:i/>
          <w:iCs/>
          <w:sz w:val="24"/>
          <w:szCs w:val="24"/>
          <w:lang w:val="en-GB"/>
        </w:rPr>
        <w:t>level</w:t>
      </w:r>
      <w:r w:rsidR="006E2BDE">
        <w:rPr>
          <w:rFonts w:ascii="Times New Roman" w:hAnsi="Times New Roman" w:cs="Times New Roman"/>
          <w:sz w:val="24"/>
          <w:szCs w:val="24"/>
          <w:lang w:val="en-GB"/>
        </w:rPr>
        <w:t xml:space="preserve"> to another </w:t>
      </w:r>
      <w:r w:rsidR="00E118E4">
        <w:rPr>
          <w:rFonts w:ascii="Times New Roman" w:hAnsi="Times New Roman" w:cs="Times New Roman"/>
          <w:sz w:val="24"/>
          <w:szCs w:val="24"/>
          <w:lang w:val="en-GB"/>
        </w:rPr>
        <w:t>depending o</w:t>
      </w:r>
      <w:r w:rsidR="00FD7987">
        <w:rPr>
          <w:rFonts w:ascii="Times New Roman" w:hAnsi="Times New Roman" w:cs="Times New Roman"/>
          <w:sz w:val="24"/>
          <w:szCs w:val="24"/>
          <w:lang w:val="en-GB"/>
        </w:rPr>
        <w:t xml:space="preserve">n </w:t>
      </w:r>
      <w:r w:rsidR="00AD30F0">
        <w:rPr>
          <w:rFonts w:ascii="Times New Roman" w:hAnsi="Times New Roman" w:cs="Times New Roman"/>
          <w:sz w:val="24"/>
          <w:szCs w:val="24"/>
          <w:lang w:val="en-GB"/>
        </w:rPr>
        <w:t xml:space="preserve">structural </w:t>
      </w:r>
      <w:r w:rsidR="00A946D4">
        <w:rPr>
          <w:rFonts w:ascii="Times New Roman" w:hAnsi="Times New Roman" w:cs="Times New Roman"/>
          <w:sz w:val="24"/>
          <w:szCs w:val="24"/>
          <w:lang w:val="en-GB"/>
        </w:rPr>
        <w:t>shifts in the economic environment.</w:t>
      </w:r>
      <w:r w:rsidR="00C138D7">
        <w:rPr>
          <w:rFonts w:ascii="Times New Roman" w:hAnsi="Times New Roman" w:cs="Times New Roman"/>
          <w:sz w:val="24"/>
          <w:szCs w:val="24"/>
          <w:lang w:val="en-GB"/>
        </w:rPr>
        <w:t xml:space="preserve"> </w:t>
      </w:r>
      <w:r w:rsidR="00DA046A">
        <w:rPr>
          <w:rFonts w:ascii="Times New Roman" w:hAnsi="Times New Roman" w:cs="Times New Roman"/>
          <w:sz w:val="24"/>
          <w:szCs w:val="24"/>
          <w:lang w:val="en-GB"/>
        </w:rPr>
        <w:t>Then</w:t>
      </w:r>
      <w:r w:rsidR="00654E1B">
        <w:rPr>
          <w:rFonts w:ascii="Times New Roman" w:hAnsi="Times New Roman" w:cs="Times New Roman"/>
          <w:sz w:val="24"/>
          <w:szCs w:val="24"/>
          <w:lang w:val="en-GB"/>
        </w:rPr>
        <w:t xml:space="preserve">, rigid </w:t>
      </w:r>
      <w:r w:rsidR="004736B7">
        <w:rPr>
          <w:rFonts w:ascii="Times New Roman" w:hAnsi="Times New Roman" w:cs="Times New Roman"/>
          <w:sz w:val="24"/>
          <w:szCs w:val="24"/>
          <w:lang w:val="en-GB"/>
        </w:rPr>
        <w:t xml:space="preserve">pattern setting </w:t>
      </w:r>
      <w:r w:rsidR="00B340D5">
        <w:rPr>
          <w:rFonts w:ascii="Times New Roman" w:hAnsi="Times New Roman" w:cs="Times New Roman"/>
          <w:sz w:val="24"/>
          <w:szCs w:val="24"/>
          <w:lang w:val="en-GB"/>
        </w:rPr>
        <w:t>might be welfare-decreasing.</w:t>
      </w:r>
    </w:p>
    <w:p w14:paraId="6824A09F" w14:textId="49A19769" w:rsidR="007A545C" w:rsidRDefault="007D5830" w:rsidP="00D07C2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 important challenge</w:t>
      </w:r>
      <w:r w:rsidR="00EA7FD9">
        <w:rPr>
          <w:rFonts w:ascii="Times New Roman" w:hAnsi="Times New Roman" w:cs="Times New Roman"/>
          <w:sz w:val="24"/>
          <w:szCs w:val="24"/>
          <w:lang w:val="en-GB"/>
        </w:rPr>
        <w:t xml:space="preserve"> in all Nordic countries is</w:t>
      </w:r>
      <w:r>
        <w:rPr>
          <w:rFonts w:ascii="Times New Roman" w:hAnsi="Times New Roman" w:cs="Times New Roman"/>
          <w:sz w:val="24"/>
          <w:szCs w:val="24"/>
          <w:lang w:val="en-GB"/>
        </w:rPr>
        <w:t xml:space="preserve"> </w:t>
      </w:r>
      <w:r w:rsidR="009D3DAF">
        <w:rPr>
          <w:rFonts w:ascii="Times New Roman" w:hAnsi="Times New Roman" w:cs="Times New Roman"/>
          <w:sz w:val="24"/>
          <w:szCs w:val="24"/>
          <w:lang w:val="en-GB"/>
        </w:rPr>
        <w:t>ageing populations</w:t>
      </w:r>
      <w:r w:rsidR="001621F0">
        <w:rPr>
          <w:rFonts w:ascii="Times New Roman" w:hAnsi="Times New Roman" w:cs="Times New Roman"/>
          <w:sz w:val="24"/>
          <w:szCs w:val="24"/>
          <w:lang w:val="en-GB"/>
        </w:rPr>
        <w:t xml:space="preserve">. </w:t>
      </w:r>
      <w:r w:rsidR="00723958">
        <w:rPr>
          <w:rFonts w:ascii="Times New Roman" w:hAnsi="Times New Roman" w:cs="Times New Roman"/>
          <w:sz w:val="24"/>
          <w:szCs w:val="24"/>
          <w:lang w:val="en-GB"/>
        </w:rPr>
        <w:t xml:space="preserve">Fiscal sustainability analyses </w:t>
      </w:r>
      <w:r w:rsidR="00E94BEA">
        <w:rPr>
          <w:rFonts w:ascii="Times New Roman" w:hAnsi="Times New Roman" w:cs="Times New Roman"/>
          <w:sz w:val="24"/>
          <w:szCs w:val="24"/>
          <w:lang w:val="en-GB"/>
        </w:rPr>
        <w:t xml:space="preserve">have identified this </w:t>
      </w:r>
      <w:r w:rsidR="00456D2A">
        <w:rPr>
          <w:rFonts w:ascii="Times New Roman" w:hAnsi="Times New Roman" w:cs="Times New Roman"/>
          <w:sz w:val="24"/>
          <w:szCs w:val="24"/>
          <w:lang w:val="en-GB"/>
        </w:rPr>
        <w:t>as a threat to the long-run viability of</w:t>
      </w:r>
      <w:r w:rsidR="0093413C">
        <w:rPr>
          <w:rFonts w:ascii="Times New Roman" w:hAnsi="Times New Roman" w:cs="Times New Roman"/>
          <w:sz w:val="24"/>
          <w:szCs w:val="24"/>
          <w:lang w:val="en-GB"/>
        </w:rPr>
        <w:t xml:space="preserve"> public finances, but </w:t>
      </w:r>
      <w:r w:rsidR="007C37D9">
        <w:rPr>
          <w:rFonts w:ascii="Times New Roman" w:hAnsi="Times New Roman" w:cs="Times New Roman"/>
          <w:sz w:val="24"/>
          <w:szCs w:val="24"/>
          <w:lang w:val="en-GB"/>
        </w:rPr>
        <w:t>potentially problematic labour market implications have also been pointed out</w:t>
      </w:r>
      <w:r w:rsidR="00C92D0F">
        <w:rPr>
          <w:rFonts w:ascii="Times New Roman" w:hAnsi="Times New Roman" w:cs="Times New Roman"/>
          <w:sz w:val="24"/>
          <w:szCs w:val="24"/>
          <w:lang w:val="en-GB"/>
        </w:rPr>
        <w:t xml:space="preserve"> (e</w:t>
      </w:r>
      <w:r w:rsidR="00747734">
        <w:rPr>
          <w:rFonts w:ascii="Times New Roman" w:hAnsi="Times New Roman" w:cs="Times New Roman"/>
          <w:sz w:val="24"/>
          <w:szCs w:val="24"/>
          <w:lang w:val="en-GB"/>
        </w:rPr>
        <w:t>.g</w:t>
      </w:r>
      <w:r w:rsidR="005062F9">
        <w:rPr>
          <w:rFonts w:ascii="Times New Roman" w:hAnsi="Times New Roman" w:cs="Times New Roman"/>
          <w:sz w:val="24"/>
          <w:szCs w:val="24"/>
          <w:lang w:val="en-GB"/>
        </w:rPr>
        <w:t>.</w:t>
      </w:r>
      <w:r w:rsidR="001A1679">
        <w:rPr>
          <w:rFonts w:ascii="Times New Roman" w:hAnsi="Times New Roman" w:cs="Times New Roman"/>
          <w:sz w:val="24"/>
          <w:szCs w:val="24"/>
          <w:lang w:val="en-GB"/>
        </w:rPr>
        <w:t xml:space="preserve"> Konjunkturinstitutet, 2020;</w:t>
      </w:r>
      <w:r w:rsidR="00747734">
        <w:rPr>
          <w:rFonts w:ascii="Times New Roman" w:hAnsi="Times New Roman" w:cs="Times New Roman"/>
          <w:sz w:val="24"/>
          <w:szCs w:val="24"/>
          <w:lang w:val="en-GB"/>
        </w:rPr>
        <w:t xml:space="preserve"> Holden IV-utvalget, 2023; Andersen</w:t>
      </w:r>
      <w:r w:rsidR="001643DF">
        <w:rPr>
          <w:rFonts w:ascii="Times New Roman" w:hAnsi="Times New Roman" w:cs="Times New Roman"/>
          <w:sz w:val="24"/>
          <w:szCs w:val="24"/>
          <w:lang w:val="en-GB"/>
        </w:rPr>
        <w:t>, 2024).</w:t>
      </w:r>
      <w:r w:rsidR="005062F9">
        <w:rPr>
          <w:rFonts w:ascii="Times New Roman" w:hAnsi="Times New Roman" w:cs="Times New Roman"/>
          <w:sz w:val="24"/>
          <w:szCs w:val="24"/>
          <w:lang w:val="en-GB"/>
        </w:rPr>
        <w:t xml:space="preserve"> Labour requirements in especiall</w:t>
      </w:r>
      <w:r w:rsidR="006538AB">
        <w:rPr>
          <w:rFonts w:ascii="Times New Roman" w:hAnsi="Times New Roman" w:cs="Times New Roman"/>
          <w:sz w:val="24"/>
          <w:szCs w:val="24"/>
          <w:lang w:val="en-GB"/>
        </w:rPr>
        <w:t xml:space="preserve">y the health and care sector </w:t>
      </w:r>
      <w:r w:rsidR="003F7955">
        <w:rPr>
          <w:rFonts w:ascii="Times New Roman" w:hAnsi="Times New Roman" w:cs="Times New Roman"/>
          <w:sz w:val="24"/>
          <w:szCs w:val="24"/>
          <w:lang w:val="en-GB"/>
        </w:rPr>
        <w:t xml:space="preserve">will likely </w:t>
      </w:r>
      <w:r w:rsidR="008A305E">
        <w:rPr>
          <w:rFonts w:ascii="Times New Roman" w:hAnsi="Times New Roman" w:cs="Times New Roman"/>
          <w:sz w:val="24"/>
          <w:szCs w:val="24"/>
          <w:lang w:val="en-GB"/>
        </w:rPr>
        <w:t>rise</w:t>
      </w:r>
      <w:r w:rsidR="003F7955">
        <w:rPr>
          <w:rFonts w:ascii="Times New Roman" w:hAnsi="Times New Roman" w:cs="Times New Roman"/>
          <w:sz w:val="24"/>
          <w:szCs w:val="24"/>
          <w:lang w:val="en-GB"/>
        </w:rPr>
        <w:t xml:space="preserve"> strongl</w:t>
      </w:r>
      <w:r w:rsidR="00DD7AC3">
        <w:rPr>
          <w:rFonts w:ascii="Times New Roman" w:hAnsi="Times New Roman" w:cs="Times New Roman"/>
          <w:sz w:val="24"/>
          <w:szCs w:val="24"/>
          <w:lang w:val="en-GB"/>
        </w:rPr>
        <w:t>y at the same time as</w:t>
      </w:r>
      <w:r w:rsidR="00E54F8D">
        <w:rPr>
          <w:rFonts w:ascii="Times New Roman" w:hAnsi="Times New Roman" w:cs="Times New Roman"/>
          <w:sz w:val="24"/>
          <w:szCs w:val="24"/>
          <w:lang w:val="en-GB"/>
        </w:rPr>
        <w:t xml:space="preserve"> aggregate labour supply </w:t>
      </w:r>
      <w:r w:rsidR="0099574F">
        <w:rPr>
          <w:rFonts w:ascii="Times New Roman" w:hAnsi="Times New Roman" w:cs="Times New Roman"/>
          <w:sz w:val="24"/>
          <w:szCs w:val="24"/>
          <w:lang w:val="en-GB"/>
        </w:rPr>
        <w:t xml:space="preserve">is </w:t>
      </w:r>
      <w:r w:rsidR="000C7982">
        <w:rPr>
          <w:rFonts w:ascii="Times New Roman" w:hAnsi="Times New Roman" w:cs="Times New Roman"/>
          <w:sz w:val="24"/>
          <w:szCs w:val="24"/>
          <w:lang w:val="en-GB"/>
        </w:rPr>
        <w:t>stagnating</w:t>
      </w:r>
      <w:r w:rsidR="00125B78">
        <w:rPr>
          <w:rFonts w:ascii="Times New Roman" w:hAnsi="Times New Roman" w:cs="Times New Roman"/>
          <w:sz w:val="24"/>
          <w:szCs w:val="24"/>
          <w:lang w:val="en-GB"/>
        </w:rPr>
        <w:t xml:space="preserve">. </w:t>
      </w:r>
      <w:r w:rsidR="00575485">
        <w:rPr>
          <w:rFonts w:ascii="Times New Roman" w:hAnsi="Times New Roman" w:cs="Times New Roman"/>
          <w:sz w:val="24"/>
          <w:szCs w:val="24"/>
          <w:lang w:val="en-GB"/>
        </w:rPr>
        <w:t xml:space="preserve">This </w:t>
      </w:r>
      <w:r w:rsidR="008B7B59">
        <w:rPr>
          <w:rFonts w:ascii="Times New Roman" w:hAnsi="Times New Roman" w:cs="Times New Roman"/>
          <w:sz w:val="24"/>
          <w:szCs w:val="24"/>
          <w:lang w:val="en-GB"/>
        </w:rPr>
        <w:t>m</w:t>
      </w:r>
      <w:r w:rsidR="00575485">
        <w:rPr>
          <w:rFonts w:ascii="Times New Roman" w:hAnsi="Times New Roman" w:cs="Times New Roman"/>
          <w:sz w:val="24"/>
          <w:szCs w:val="24"/>
          <w:lang w:val="en-GB"/>
        </w:rPr>
        <w:t>ay require</w:t>
      </w:r>
      <w:r w:rsidR="008B7B59">
        <w:rPr>
          <w:rFonts w:ascii="Times New Roman" w:hAnsi="Times New Roman" w:cs="Times New Roman"/>
          <w:sz w:val="24"/>
          <w:szCs w:val="24"/>
          <w:lang w:val="en-GB"/>
        </w:rPr>
        <w:t xml:space="preserve"> reallocation of labour </w:t>
      </w:r>
      <w:r w:rsidR="005C7113">
        <w:rPr>
          <w:rFonts w:ascii="Times New Roman" w:hAnsi="Times New Roman" w:cs="Times New Roman"/>
          <w:sz w:val="24"/>
          <w:szCs w:val="24"/>
          <w:lang w:val="en-GB"/>
        </w:rPr>
        <w:t xml:space="preserve">from tradables to </w:t>
      </w:r>
      <w:r w:rsidR="004766A5">
        <w:rPr>
          <w:rFonts w:ascii="Times New Roman" w:hAnsi="Times New Roman" w:cs="Times New Roman"/>
          <w:sz w:val="24"/>
          <w:szCs w:val="24"/>
          <w:lang w:val="en-GB"/>
        </w:rPr>
        <w:t>welfare services</w:t>
      </w:r>
      <w:r w:rsidR="008B7B59">
        <w:rPr>
          <w:rFonts w:ascii="Times New Roman" w:hAnsi="Times New Roman" w:cs="Times New Roman"/>
          <w:sz w:val="24"/>
          <w:szCs w:val="24"/>
          <w:lang w:val="en-GB"/>
        </w:rPr>
        <w:t xml:space="preserve"> production</w:t>
      </w:r>
      <w:r w:rsidR="004F2610">
        <w:rPr>
          <w:rFonts w:ascii="Times New Roman" w:hAnsi="Times New Roman" w:cs="Times New Roman"/>
          <w:sz w:val="24"/>
          <w:szCs w:val="24"/>
          <w:lang w:val="en-GB"/>
        </w:rPr>
        <w:t xml:space="preserve">. </w:t>
      </w:r>
      <w:r w:rsidR="00254AF5">
        <w:rPr>
          <w:rFonts w:ascii="Times New Roman" w:hAnsi="Times New Roman" w:cs="Times New Roman"/>
          <w:sz w:val="24"/>
          <w:szCs w:val="24"/>
          <w:lang w:val="en-GB"/>
        </w:rPr>
        <w:t xml:space="preserve">A question is how such a development would square </w:t>
      </w:r>
      <w:r w:rsidR="00FD6F85">
        <w:rPr>
          <w:rFonts w:ascii="Times New Roman" w:hAnsi="Times New Roman" w:cs="Times New Roman"/>
          <w:sz w:val="24"/>
          <w:szCs w:val="24"/>
          <w:lang w:val="en-GB"/>
        </w:rPr>
        <w:t xml:space="preserve">with pattern </w:t>
      </w:r>
      <w:r w:rsidR="007A545C">
        <w:rPr>
          <w:rFonts w:ascii="Times New Roman" w:hAnsi="Times New Roman" w:cs="Times New Roman"/>
          <w:sz w:val="24"/>
          <w:szCs w:val="24"/>
          <w:lang w:val="en-GB"/>
        </w:rPr>
        <w:t>setting by the tradables sector.</w:t>
      </w:r>
    </w:p>
    <w:p w14:paraId="17B6F83A" w14:textId="05A2DF17" w:rsidR="00B340D5" w:rsidRDefault="007A545C" w:rsidP="00D07C2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Calmfors et al. (2019) </w:t>
      </w:r>
      <w:r w:rsidR="00502070">
        <w:rPr>
          <w:rFonts w:ascii="Times New Roman" w:hAnsi="Times New Roman" w:cs="Times New Roman"/>
          <w:sz w:val="24"/>
          <w:szCs w:val="24"/>
          <w:lang w:val="en-GB"/>
        </w:rPr>
        <w:t xml:space="preserve">analyse this </w:t>
      </w:r>
      <w:r w:rsidR="001A1679">
        <w:rPr>
          <w:rFonts w:ascii="Times New Roman" w:hAnsi="Times New Roman" w:cs="Times New Roman"/>
          <w:sz w:val="24"/>
          <w:szCs w:val="24"/>
          <w:lang w:val="en-GB"/>
        </w:rPr>
        <w:t>using</w:t>
      </w:r>
      <w:r w:rsidR="00E37BAF">
        <w:rPr>
          <w:rFonts w:ascii="Times New Roman" w:hAnsi="Times New Roman" w:cs="Times New Roman"/>
          <w:sz w:val="24"/>
          <w:szCs w:val="24"/>
          <w:lang w:val="en-GB"/>
        </w:rPr>
        <w:t xml:space="preserve"> a stylised model by Rose et al. (2007)</w:t>
      </w:r>
      <w:r w:rsidR="00B11A3F">
        <w:rPr>
          <w:rFonts w:ascii="Times New Roman" w:hAnsi="Times New Roman" w:cs="Times New Roman"/>
          <w:sz w:val="24"/>
          <w:szCs w:val="24"/>
          <w:lang w:val="en-GB"/>
        </w:rPr>
        <w:t xml:space="preserve">. </w:t>
      </w:r>
      <w:r w:rsidR="001A1679">
        <w:rPr>
          <w:rFonts w:ascii="Times New Roman" w:hAnsi="Times New Roman" w:cs="Times New Roman"/>
          <w:sz w:val="24"/>
          <w:szCs w:val="24"/>
          <w:lang w:val="en-GB"/>
        </w:rPr>
        <w:t>There</w:t>
      </w:r>
      <w:r w:rsidR="00B11A3F">
        <w:rPr>
          <w:rFonts w:ascii="Times New Roman" w:hAnsi="Times New Roman" w:cs="Times New Roman"/>
          <w:sz w:val="24"/>
          <w:szCs w:val="24"/>
          <w:lang w:val="en-GB"/>
        </w:rPr>
        <w:t xml:space="preserve">, </w:t>
      </w:r>
      <w:r w:rsidR="005832B5">
        <w:rPr>
          <w:rFonts w:ascii="Times New Roman" w:hAnsi="Times New Roman" w:cs="Times New Roman"/>
          <w:sz w:val="24"/>
          <w:szCs w:val="24"/>
          <w:lang w:val="en-GB"/>
        </w:rPr>
        <w:t xml:space="preserve">the population consists of three overlapping generations: children, </w:t>
      </w:r>
      <w:r w:rsidR="00A6637D">
        <w:rPr>
          <w:rFonts w:ascii="Times New Roman" w:hAnsi="Times New Roman" w:cs="Times New Roman"/>
          <w:sz w:val="24"/>
          <w:szCs w:val="24"/>
          <w:lang w:val="en-GB"/>
        </w:rPr>
        <w:t xml:space="preserve">workers and </w:t>
      </w:r>
      <w:r w:rsidR="003D5A6F">
        <w:rPr>
          <w:rFonts w:ascii="Times New Roman" w:hAnsi="Times New Roman" w:cs="Times New Roman"/>
          <w:sz w:val="24"/>
          <w:szCs w:val="24"/>
          <w:lang w:val="en-GB"/>
        </w:rPr>
        <w:t xml:space="preserve">pensioners. </w:t>
      </w:r>
      <w:r w:rsidR="006828EF">
        <w:rPr>
          <w:rFonts w:ascii="Times New Roman" w:hAnsi="Times New Roman" w:cs="Times New Roman"/>
          <w:sz w:val="24"/>
          <w:szCs w:val="24"/>
          <w:lang w:val="en-GB"/>
        </w:rPr>
        <w:t xml:space="preserve">Workers </w:t>
      </w:r>
      <w:r w:rsidR="008C6E93">
        <w:rPr>
          <w:rFonts w:ascii="Times New Roman" w:hAnsi="Times New Roman" w:cs="Times New Roman"/>
          <w:sz w:val="24"/>
          <w:szCs w:val="24"/>
          <w:lang w:val="en-GB"/>
        </w:rPr>
        <w:t xml:space="preserve">accumulate savings </w:t>
      </w:r>
      <w:r w:rsidR="001918E6">
        <w:rPr>
          <w:rFonts w:ascii="Times New Roman" w:hAnsi="Times New Roman" w:cs="Times New Roman"/>
          <w:sz w:val="24"/>
          <w:szCs w:val="24"/>
          <w:lang w:val="en-GB"/>
        </w:rPr>
        <w:t xml:space="preserve">which finance consumption </w:t>
      </w:r>
      <w:r w:rsidR="00FC0A5D">
        <w:rPr>
          <w:rFonts w:ascii="Times New Roman" w:hAnsi="Times New Roman" w:cs="Times New Roman"/>
          <w:sz w:val="24"/>
          <w:szCs w:val="24"/>
          <w:lang w:val="en-GB"/>
        </w:rPr>
        <w:t>after retirement.</w:t>
      </w:r>
      <w:r w:rsidR="00383A88">
        <w:rPr>
          <w:rFonts w:ascii="Times New Roman" w:hAnsi="Times New Roman" w:cs="Times New Roman"/>
          <w:sz w:val="24"/>
          <w:szCs w:val="24"/>
          <w:lang w:val="en-GB"/>
        </w:rPr>
        <w:t xml:space="preserve"> There is a tradables and a nontradables sec</w:t>
      </w:r>
      <w:r w:rsidR="00D47E21">
        <w:rPr>
          <w:rFonts w:ascii="Times New Roman" w:hAnsi="Times New Roman" w:cs="Times New Roman"/>
          <w:sz w:val="24"/>
          <w:szCs w:val="24"/>
          <w:lang w:val="en-GB"/>
        </w:rPr>
        <w:t>tor</w:t>
      </w:r>
      <w:r w:rsidR="008451B9">
        <w:rPr>
          <w:rFonts w:ascii="Times New Roman" w:hAnsi="Times New Roman" w:cs="Times New Roman"/>
          <w:sz w:val="24"/>
          <w:szCs w:val="24"/>
          <w:lang w:val="en-GB"/>
        </w:rPr>
        <w:t xml:space="preserve">. </w:t>
      </w:r>
      <w:r w:rsidR="0088327A">
        <w:rPr>
          <w:rFonts w:ascii="Times New Roman" w:hAnsi="Times New Roman" w:cs="Times New Roman"/>
          <w:sz w:val="24"/>
          <w:szCs w:val="24"/>
          <w:lang w:val="en-GB"/>
        </w:rPr>
        <w:t>Pensioners</w:t>
      </w:r>
      <w:r w:rsidR="002B1B3B">
        <w:rPr>
          <w:rFonts w:ascii="Times New Roman" w:hAnsi="Times New Roman" w:cs="Times New Roman"/>
          <w:sz w:val="24"/>
          <w:szCs w:val="24"/>
          <w:lang w:val="en-GB"/>
        </w:rPr>
        <w:t xml:space="preserve"> </w:t>
      </w:r>
      <w:r w:rsidR="008C7790">
        <w:rPr>
          <w:rFonts w:ascii="Times New Roman" w:hAnsi="Times New Roman" w:cs="Times New Roman"/>
          <w:sz w:val="24"/>
          <w:szCs w:val="24"/>
          <w:lang w:val="en-GB"/>
        </w:rPr>
        <w:t xml:space="preserve">allocate a larger share of </w:t>
      </w:r>
      <w:r w:rsidR="00861EB0">
        <w:rPr>
          <w:rFonts w:ascii="Times New Roman" w:hAnsi="Times New Roman" w:cs="Times New Roman"/>
          <w:sz w:val="24"/>
          <w:szCs w:val="24"/>
          <w:lang w:val="en-GB"/>
        </w:rPr>
        <w:t>their</w:t>
      </w:r>
      <w:r w:rsidR="00885D2A">
        <w:rPr>
          <w:rFonts w:ascii="Times New Roman" w:hAnsi="Times New Roman" w:cs="Times New Roman"/>
          <w:sz w:val="24"/>
          <w:szCs w:val="24"/>
          <w:lang w:val="en-GB"/>
        </w:rPr>
        <w:t xml:space="preserve"> </w:t>
      </w:r>
      <w:r w:rsidR="008C7790">
        <w:rPr>
          <w:rFonts w:ascii="Times New Roman" w:hAnsi="Times New Roman" w:cs="Times New Roman"/>
          <w:sz w:val="24"/>
          <w:szCs w:val="24"/>
          <w:lang w:val="en-GB"/>
        </w:rPr>
        <w:t xml:space="preserve">consumption </w:t>
      </w:r>
      <w:r w:rsidR="00383A88">
        <w:rPr>
          <w:rFonts w:ascii="Times New Roman" w:hAnsi="Times New Roman" w:cs="Times New Roman"/>
          <w:sz w:val="24"/>
          <w:szCs w:val="24"/>
          <w:lang w:val="en-GB"/>
        </w:rPr>
        <w:t>to</w:t>
      </w:r>
      <w:r w:rsidR="008C7790">
        <w:rPr>
          <w:rFonts w:ascii="Times New Roman" w:hAnsi="Times New Roman" w:cs="Times New Roman"/>
          <w:sz w:val="24"/>
          <w:szCs w:val="24"/>
          <w:lang w:val="en-GB"/>
        </w:rPr>
        <w:t xml:space="preserve"> </w:t>
      </w:r>
      <w:r w:rsidR="00DA3DC1">
        <w:rPr>
          <w:rFonts w:ascii="Times New Roman" w:hAnsi="Times New Roman" w:cs="Times New Roman"/>
          <w:sz w:val="24"/>
          <w:szCs w:val="24"/>
          <w:lang w:val="en-GB"/>
        </w:rPr>
        <w:t xml:space="preserve">nontradables </w:t>
      </w:r>
      <w:r w:rsidR="00F53098">
        <w:rPr>
          <w:rFonts w:ascii="Times New Roman" w:hAnsi="Times New Roman" w:cs="Times New Roman"/>
          <w:sz w:val="24"/>
          <w:szCs w:val="24"/>
          <w:lang w:val="en-GB"/>
        </w:rPr>
        <w:t>than workers</w:t>
      </w:r>
      <w:r w:rsidR="00E60CAD">
        <w:rPr>
          <w:rFonts w:ascii="Times New Roman" w:hAnsi="Times New Roman" w:cs="Times New Roman"/>
          <w:sz w:val="24"/>
          <w:szCs w:val="24"/>
          <w:lang w:val="en-GB"/>
        </w:rPr>
        <w:t xml:space="preserve"> as the good can be used to provide care for </w:t>
      </w:r>
      <w:r w:rsidR="00F16F3B">
        <w:rPr>
          <w:rFonts w:ascii="Times New Roman" w:hAnsi="Times New Roman" w:cs="Times New Roman"/>
          <w:sz w:val="24"/>
          <w:szCs w:val="24"/>
          <w:lang w:val="en-GB"/>
        </w:rPr>
        <w:t>them</w:t>
      </w:r>
      <w:r w:rsidR="00A14FAC">
        <w:rPr>
          <w:rFonts w:ascii="Times New Roman" w:hAnsi="Times New Roman" w:cs="Times New Roman"/>
          <w:sz w:val="24"/>
          <w:szCs w:val="24"/>
          <w:lang w:val="en-GB"/>
        </w:rPr>
        <w:t>.</w:t>
      </w:r>
      <w:r w:rsidR="007862DA">
        <w:rPr>
          <w:rStyle w:val="FootnoteReference"/>
          <w:rFonts w:ascii="Times New Roman" w:hAnsi="Times New Roman" w:cs="Times New Roman"/>
          <w:sz w:val="24"/>
          <w:szCs w:val="24"/>
          <w:lang w:val="en-GB"/>
        </w:rPr>
        <w:footnoteReference w:id="36"/>
      </w:r>
      <w:r w:rsidR="00836525">
        <w:rPr>
          <w:rFonts w:ascii="Times New Roman" w:hAnsi="Times New Roman" w:cs="Times New Roman"/>
          <w:sz w:val="24"/>
          <w:szCs w:val="24"/>
          <w:lang w:val="en-GB"/>
        </w:rPr>
        <w:t xml:space="preserve"> </w:t>
      </w:r>
      <w:r w:rsidR="0083454D">
        <w:rPr>
          <w:rFonts w:ascii="Times New Roman" w:hAnsi="Times New Roman" w:cs="Times New Roman"/>
          <w:sz w:val="24"/>
          <w:szCs w:val="24"/>
          <w:lang w:val="en-GB"/>
        </w:rPr>
        <w:t xml:space="preserve">Labour </w:t>
      </w:r>
      <w:r w:rsidR="001A1679">
        <w:rPr>
          <w:rFonts w:ascii="Times New Roman" w:hAnsi="Times New Roman" w:cs="Times New Roman"/>
          <w:sz w:val="24"/>
          <w:szCs w:val="24"/>
          <w:lang w:val="en-GB"/>
        </w:rPr>
        <w:t xml:space="preserve">is homogeneous and </w:t>
      </w:r>
      <w:r w:rsidR="00E5108A">
        <w:rPr>
          <w:rFonts w:ascii="Times New Roman" w:hAnsi="Times New Roman" w:cs="Times New Roman"/>
          <w:sz w:val="24"/>
          <w:szCs w:val="24"/>
          <w:lang w:val="en-GB"/>
        </w:rPr>
        <w:t xml:space="preserve">can </w:t>
      </w:r>
      <w:r w:rsidR="003B59FA">
        <w:rPr>
          <w:rFonts w:ascii="Times New Roman" w:hAnsi="Times New Roman" w:cs="Times New Roman"/>
          <w:sz w:val="24"/>
          <w:szCs w:val="24"/>
          <w:lang w:val="en-GB"/>
        </w:rPr>
        <w:t>move between the sectors</w:t>
      </w:r>
      <w:r w:rsidR="00AC2D4B">
        <w:rPr>
          <w:rFonts w:ascii="Times New Roman" w:hAnsi="Times New Roman" w:cs="Times New Roman"/>
          <w:sz w:val="24"/>
          <w:szCs w:val="24"/>
          <w:lang w:val="en-GB"/>
        </w:rPr>
        <w:t>. Labour demand</w:t>
      </w:r>
      <w:r w:rsidR="00A961E6">
        <w:rPr>
          <w:rFonts w:ascii="Times New Roman" w:hAnsi="Times New Roman" w:cs="Times New Roman"/>
          <w:sz w:val="24"/>
          <w:szCs w:val="24"/>
          <w:lang w:val="en-GB"/>
        </w:rPr>
        <w:t xml:space="preserve"> and outpu</w:t>
      </w:r>
      <w:r w:rsidR="001A1679">
        <w:rPr>
          <w:rFonts w:ascii="Times New Roman" w:hAnsi="Times New Roman" w:cs="Times New Roman"/>
          <w:sz w:val="24"/>
          <w:szCs w:val="24"/>
          <w:lang w:val="en-GB"/>
        </w:rPr>
        <w:t>t</w:t>
      </w:r>
      <w:r w:rsidR="00AC2D4B">
        <w:rPr>
          <w:rFonts w:ascii="Times New Roman" w:hAnsi="Times New Roman" w:cs="Times New Roman"/>
          <w:sz w:val="24"/>
          <w:szCs w:val="24"/>
          <w:lang w:val="en-GB"/>
        </w:rPr>
        <w:t xml:space="preserve"> in each sector </w:t>
      </w:r>
      <w:r w:rsidR="007E2E58">
        <w:rPr>
          <w:rFonts w:ascii="Times New Roman" w:hAnsi="Times New Roman" w:cs="Times New Roman"/>
          <w:sz w:val="24"/>
          <w:szCs w:val="24"/>
          <w:lang w:val="en-GB"/>
        </w:rPr>
        <w:t>depends on the real product wage there</w:t>
      </w:r>
      <w:r w:rsidR="000D3547">
        <w:rPr>
          <w:rFonts w:ascii="Times New Roman" w:hAnsi="Times New Roman" w:cs="Times New Roman"/>
          <w:sz w:val="24"/>
          <w:szCs w:val="24"/>
          <w:lang w:val="en-GB"/>
        </w:rPr>
        <w:t>.</w:t>
      </w:r>
    </w:p>
    <w:p w14:paraId="38A9595A" w14:textId="68F242DB" w:rsidR="009025C4" w:rsidRDefault="002C42EE" w:rsidP="00D07C2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Figure </w:t>
      </w:r>
      <w:r w:rsidR="001A1679">
        <w:rPr>
          <w:rFonts w:ascii="Times New Roman" w:hAnsi="Times New Roman" w:cs="Times New Roman"/>
          <w:sz w:val="24"/>
          <w:szCs w:val="24"/>
          <w:lang w:val="en-GB"/>
        </w:rPr>
        <w:t>5</w:t>
      </w:r>
      <w:r>
        <w:rPr>
          <w:rFonts w:ascii="Times New Roman" w:hAnsi="Times New Roman" w:cs="Times New Roman"/>
          <w:sz w:val="24"/>
          <w:szCs w:val="24"/>
          <w:lang w:val="en-GB"/>
        </w:rPr>
        <w:t xml:space="preserve"> illustrates </w:t>
      </w:r>
      <w:r w:rsidR="001A1679">
        <w:rPr>
          <w:rFonts w:ascii="Times New Roman" w:hAnsi="Times New Roman" w:cs="Times New Roman"/>
          <w:sz w:val="24"/>
          <w:szCs w:val="24"/>
          <w:lang w:val="en-GB"/>
        </w:rPr>
        <w:t xml:space="preserve">the likely consequences of </w:t>
      </w:r>
      <w:r w:rsidR="008F6518">
        <w:rPr>
          <w:rFonts w:ascii="Times New Roman" w:hAnsi="Times New Roman" w:cs="Times New Roman"/>
          <w:sz w:val="24"/>
          <w:szCs w:val="24"/>
          <w:lang w:val="en-GB"/>
        </w:rPr>
        <w:t>chang</w:t>
      </w:r>
      <w:r w:rsidR="001A1679">
        <w:rPr>
          <w:rFonts w:ascii="Times New Roman" w:hAnsi="Times New Roman" w:cs="Times New Roman"/>
          <w:sz w:val="24"/>
          <w:szCs w:val="24"/>
          <w:lang w:val="en-GB"/>
        </w:rPr>
        <w:t>ing</w:t>
      </w:r>
      <w:r w:rsidR="008F6518">
        <w:rPr>
          <w:rFonts w:ascii="Times New Roman" w:hAnsi="Times New Roman" w:cs="Times New Roman"/>
          <w:sz w:val="24"/>
          <w:szCs w:val="24"/>
          <w:lang w:val="en-GB"/>
        </w:rPr>
        <w:t xml:space="preserve"> demographics.</w:t>
      </w:r>
      <w:r w:rsidR="000A01D5">
        <w:rPr>
          <w:rFonts w:ascii="Times New Roman" w:hAnsi="Times New Roman" w:cs="Times New Roman"/>
          <w:sz w:val="24"/>
          <w:szCs w:val="24"/>
          <w:lang w:val="en-GB"/>
        </w:rPr>
        <w:t xml:space="preserve"> It is</w:t>
      </w:r>
      <w:r w:rsidR="001A1679">
        <w:rPr>
          <w:rFonts w:ascii="Times New Roman" w:hAnsi="Times New Roman" w:cs="Times New Roman"/>
          <w:sz w:val="24"/>
          <w:szCs w:val="24"/>
          <w:lang w:val="en-GB"/>
        </w:rPr>
        <w:t xml:space="preserve"> first</w:t>
      </w:r>
      <w:r w:rsidR="000A01D5">
        <w:rPr>
          <w:rFonts w:ascii="Times New Roman" w:hAnsi="Times New Roman" w:cs="Times New Roman"/>
          <w:sz w:val="24"/>
          <w:szCs w:val="24"/>
          <w:lang w:val="en-GB"/>
        </w:rPr>
        <w:t xml:space="preserve"> assumed that the wage</w:t>
      </w:r>
      <w:r w:rsidR="000F7B5F">
        <w:rPr>
          <w:rFonts w:ascii="Times New Roman" w:hAnsi="Times New Roman" w:cs="Times New Roman"/>
          <w:sz w:val="24"/>
          <w:szCs w:val="24"/>
          <w:lang w:val="en-GB"/>
        </w:rPr>
        <w:t xml:space="preserve"> is</w:t>
      </w:r>
      <w:r w:rsidR="00ED3CD6">
        <w:rPr>
          <w:rFonts w:ascii="Times New Roman" w:hAnsi="Times New Roman" w:cs="Times New Roman"/>
          <w:sz w:val="24"/>
          <w:szCs w:val="24"/>
          <w:lang w:val="en-GB"/>
        </w:rPr>
        <w:t xml:space="preserve"> </w:t>
      </w:r>
      <w:r w:rsidR="001A1679">
        <w:rPr>
          <w:rFonts w:ascii="Times New Roman" w:hAnsi="Times New Roman" w:cs="Times New Roman"/>
          <w:sz w:val="24"/>
          <w:szCs w:val="24"/>
          <w:lang w:val="en-GB"/>
        </w:rPr>
        <w:t>determined so that</w:t>
      </w:r>
      <w:r w:rsidR="00ED3CD6">
        <w:rPr>
          <w:rFonts w:ascii="Times New Roman" w:hAnsi="Times New Roman" w:cs="Times New Roman"/>
          <w:sz w:val="24"/>
          <w:szCs w:val="24"/>
          <w:lang w:val="en-GB"/>
        </w:rPr>
        <w:t xml:space="preserve"> </w:t>
      </w:r>
      <w:r w:rsidR="006D5F35">
        <w:rPr>
          <w:rFonts w:ascii="Times New Roman" w:hAnsi="Times New Roman" w:cs="Times New Roman"/>
          <w:sz w:val="24"/>
          <w:szCs w:val="24"/>
          <w:lang w:val="en-GB"/>
        </w:rPr>
        <w:t>demand for labour equates (</w:t>
      </w:r>
      <w:r w:rsidR="00F24A71">
        <w:rPr>
          <w:rFonts w:ascii="Times New Roman" w:hAnsi="Times New Roman" w:cs="Times New Roman"/>
          <w:sz w:val="24"/>
          <w:szCs w:val="24"/>
          <w:lang w:val="en-GB"/>
        </w:rPr>
        <w:t>a</w:t>
      </w:r>
      <w:r w:rsidR="006D5F35">
        <w:rPr>
          <w:rFonts w:ascii="Times New Roman" w:hAnsi="Times New Roman" w:cs="Times New Roman"/>
          <w:sz w:val="24"/>
          <w:szCs w:val="24"/>
          <w:lang w:val="en-GB"/>
        </w:rPr>
        <w:t xml:space="preserve"> fixed)</w:t>
      </w:r>
      <w:r w:rsidR="006039BB">
        <w:rPr>
          <w:rFonts w:ascii="Times New Roman" w:hAnsi="Times New Roman" w:cs="Times New Roman"/>
          <w:sz w:val="24"/>
          <w:szCs w:val="24"/>
          <w:lang w:val="en-GB"/>
        </w:rPr>
        <w:t xml:space="preserve"> supply</w:t>
      </w:r>
      <w:r w:rsidR="00F24A71">
        <w:rPr>
          <w:rFonts w:ascii="Times New Roman" w:hAnsi="Times New Roman" w:cs="Times New Roman"/>
          <w:sz w:val="24"/>
          <w:szCs w:val="24"/>
          <w:lang w:val="en-GB"/>
        </w:rPr>
        <w:t xml:space="preserve"> (</w:t>
      </w:r>
      <w:r w:rsidR="001A1679">
        <w:rPr>
          <w:rFonts w:ascii="Times New Roman" w:hAnsi="Times New Roman" w:cs="Times New Roman"/>
          <w:sz w:val="24"/>
          <w:szCs w:val="24"/>
          <w:lang w:val="en-GB"/>
        </w:rPr>
        <w:t>having the r</w:t>
      </w:r>
      <w:r w:rsidR="00FF5968">
        <w:rPr>
          <w:rFonts w:ascii="Times New Roman" w:hAnsi="Times New Roman" w:cs="Times New Roman"/>
          <w:sz w:val="24"/>
          <w:szCs w:val="24"/>
          <w:lang w:val="en-GB"/>
        </w:rPr>
        <w:t>equired skills)</w:t>
      </w:r>
      <w:r w:rsidR="006039BB">
        <w:rPr>
          <w:rFonts w:ascii="Times New Roman" w:hAnsi="Times New Roman" w:cs="Times New Roman"/>
          <w:sz w:val="24"/>
          <w:szCs w:val="24"/>
          <w:lang w:val="en-GB"/>
        </w:rPr>
        <w:t>. The axes</w:t>
      </w:r>
      <w:r w:rsidR="00FE3884">
        <w:rPr>
          <w:rFonts w:ascii="Times New Roman" w:hAnsi="Times New Roman" w:cs="Times New Roman"/>
          <w:sz w:val="24"/>
          <w:szCs w:val="24"/>
          <w:lang w:val="en-GB"/>
        </w:rPr>
        <w:t xml:space="preserve"> </w:t>
      </w:r>
      <w:r w:rsidR="001A1679">
        <w:rPr>
          <w:rFonts w:ascii="Times New Roman" w:hAnsi="Times New Roman" w:cs="Times New Roman"/>
          <w:sz w:val="24"/>
          <w:szCs w:val="24"/>
          <w:lang w:val="en-GB"/>
        </w:rPr>
        <w:t>show</w:t>
      </w:r>
      <w:r w:rsidR="009025C4">
        <w:rPr>
          <w:rFonts w:ascii="Times New Roman" w:hAnsi="Times New Roman" w:cs="Times New Roman"/>
          <w:sz w:val="24"/>
          <w:szCs w:val="24"/>
          <w:lang w:val="en-GB"/>
        </w:rPr>
        <w:t xml:space="preserve"> output and consumption </w:t>
      </w:r>
      <w:r w:rsidR="00487173">
        <w:rPr>
          <w:rFonts w:ascii="Times New Roman" w:hAnsi="Times New Roman" w:cs="Times New Roman"/>
          <w:sz w:val="24"/>
          <w:szCs w:val="24"/>
          <w:lang w:val="en-GB"/>
        </w:rPr>
        <w:t xml:space="preserve">of the two goods. </w:t>
      </w:r>
      <w:r w:rsidR="001A1679">
        <w:rPr>
          <w:rFonts w:ascii="Times New Roman" w:hAnsi="Times New Roman" w:cs="Times New Roman"/>
          <w:sz w:val="24"/>
          <w:szCs w:val="24"/>
          <w:lang w:val="en-GB"/>
        </w:rPr>
        <w:t>The curve is</w:t>
      </w:r>
      <w:r w:rsidR="00487173">
        <w:rPr>
          <w:rFonts w:ascii="Times New Roman" w:hAnsi="Times New Roman" w:cs="Times New Roman"/>
          <w:sz w:val="24"/>
          <w:szCs w:val="24"/>
          <w:lang w:val="en-GB"/>
        </w:rPr>
        <w:t xml:space="preserve"> a </w:t>
      </w:r>
      <w:r w:rsidR="00487173" w:rsidRPr="00581A2F">
        <w:rPr>
          <w:rFonts w:ascii="Times New Roman" w:hAnsi="Times New Roman" w:cs="Times New Roman"/>
          <w:i/>
          <w:iCs/>
          <w:sz w:val="24"/>
          <w:szCs w:val="24"/>
          <w:lang w:val="en-GB"/>
        </w:rPr>
        <w:t>production possibility frontier</w:t>
      </w:r>
      <w:r w:rsidR="00487173">
        <w:rPr>
          <w:rFonts w:ascii="Times New Roman" w:hAnsi="Times New Roman" w:cs="Times New Roman"/>
          <w:sz w:val="24"/>
          <w:szCs w:val="24"/>
          <w:lang w:val="en-GB"/>
        </w:rPr>
        <w:t xml:space="preserve">, </w:t>
      </w:r>
      <w:r w:rsidR="00DC072C">
        <w:rPr>
          <w:rFonts w:ascii="Times New Roman" w:hAnsi="Times New Roman" w:cs="Times New Roman"/>
          <w:sz w:val="24"/>
          <w:szCs w:val="24"/>
          <w:lang w:val="en-GB"/>
        </w:rPr>
        <w:t>showing the combination</w:t>
      </w:r>
      <w:r w:rsidR="001A1679">
        <w:rPr>
          <w:rFonts w:ascii="Times New Roman" w:hAnsi="Times New Roman" w:cs="Times New Roman"/>
          <w:sz w:val="24"/>
          <w:szCs w:val="24"/>
          <w:lang w:val="en-GB"/>
        </w:rPr>
        <w:t>s</w:t>
      </w:r>
      <w:r w:rsidR="00DC072C">
        <w:rPr>
          <w:rFonts w:ascii="Times New Roman" w:hAnsi="Times New Roman" w:cs="Times New Roman"/>
          <w:sz w:val="24"/>
          <w:szCs w:val="24"/>
          <w:lang w:val="en-GB"/>
        </w:rPr>
        <w:t xml:space="preserve"> of tradables and nontradables </w:t>
      </w:r>
      <w:r w:rsidR="00C741C1">
        <w:rPr>
          <w:rFonts w:ascii="Times New Roman" w:hAnsi="Times New Roman" w:cs="Times New Roman"/>
          <w:sz w:val="24"/>
          <w:szCs w:val="24"/>
          <w:lang w:val="en-GB"/>
        </w:rPr>
        <w:t xml:space="preserve">that can be produced. </w:t>
      </w:r>
      <w:r w:rsidR="009162E3">
        <w:rPr>
          <w:rFonts w:ascii="Times New Roman" w:hAnsi="Times New Roman" w:cs="Times New Roman"/>
          <w:sz w:val="24"/>
          <w:szCs w:val="24"/>
          <w:lang w:val="en-GB"/>
        </w:rPr>
        <w:t>Higher output of one good requires lower output of the other</w:t>
      </w:r>
      <w:r w:rsidR="000B26D9">
        <w:rPr>
          <w:rFonts w:ascii="Times New Roman" w:hAnsi="Times New Roman" w:cs="Times New Roman"/>
          <w:sz w:val="24"/>
          <w:szCs w:val="24"/>
          <w:lang w:val="en-GB"/>
        </w:rPr>
        <w:t xml:space="preserve">. </w:t>
      </w:r>
    </w:p>
    <w:p w14:paraId="637F950D" w14:textId="77777777" w:rsidR="001B1CFF" w:rsidRDefault="001B1CFF" w:rsidP="00D07C26">
      <w:pPr>
        <w:spacing w:line="360" w:lineRule="auto"/>
        <w:jc w:val="both"/>
        <w:rPr>
          <w:rFonts w:ascii="Times New Roman" w:hAnsi="Times New Roman" w:cs="Times New Roman"/>
          <w:b/>
          <w:bCs/>
          <w:lang w:val="en-GB"/>
        </w:rPr>
      </w:pPr>
    </w:p>
    <w:p w14:paraId="1D30FC66" w14:textId="77777777" w:rsidR="001B1CFF" w:rsidRDefault="001B1CFF" w:rsidP="00D07C26">
      <w:pPr>
        <w:spacing w:line="360" w:lineRule="auto"/>
        <w:jc w:val="both"/>
        <w:rPr>
          <w:rFonts w:ascii="Times New Roman" w:hAnsi="Times New Roman" w:cs="Times New Roman"/>
          <w:b/>
          <w:bCs/>
          <w:lang w:val="en-GB"/>
        </w:rPr>
      </w:pPr>
    </w:p>
    <w:p w14:paraId="3A09A378" w14:textId="77777777" w:rsidR="001B1CFF" w:rsidRDefault="001B1CFF" w:rsidP="00D07C26">
      <w:pPr>
        <w:spacing w:line="360" w:lineRule="auto"/>
        <w:jc w:val="both"/>
        <w:rPr>
          <w:rFonts w:ascii="Times New Roman" w:hAnsi="Times New Roman" w:cs="Times New Roman"/>
          <w:b/>
          <w:bCs/>
          <w:lang w:val="en-GB"/>
        </w:rPr>
      </w:pPr>
    </w:p>
    <w:p w14:paraId="53ABDD72" w14:textId="77777777" w:rsidR="001B1CFF" w:rsidRDefault="001B1CFF" w:rsidP="00D07C26">
      <w:pPr>
        <w:spacing w:line="360" w:lineRule="auto"/>
        <w:jc w:val="both"/>
        <w:rPr>
          <w:rFonts w:ascii="Times New Roman" w:hAnsi="Times New Roman" w:cs="Times New Roman"/>
          <w:b/>
          <w:bCs/>
          <w:lang w:val="en-GB"/>
        </w:rPr>
      </w:pPr>
    </w:p>
    <w:p w14:paraId="5E759CAE" w14:textId="77777777" w:rsidR="001B1CFF" w:rsidRDefault="001B1CFF" w:rsidP="00D07C26">
      <w:pPr>
        <w:spacing w:line="360" w:lineRule="auto"/>
        <w:jc w:val="both"/>
        <w:rPr>
          <w:rFonts w:ascii="Times New Roman" w:hAnsi="Times New Roman" w:cs="Times New Roman"/>
          <w:b/>
          <w:bCs/>
          <w:lang w:val="en-GB"/>
        </w:rPr>
      </w:pPr>
    </w:p>
    <w:p w14:paraId="681412A8" w14:textId="53634E3D" w:rsidR="0090318C" w:rsidRDefault="001120C0" w:rsidP="00D07C26">
      <w:pPr>
        <w:spacing w:line="360" w:lineRule="auto"/>
        <w:jc w:val="both"/>
        <w:rPr>
          <w:rFonts w:ascii="Times New Roman" w:hAnsi="Times New Roman" w:cs="Times New Roman"/>
          <w:b/>
          <w:bCs/>
          <w:lang w:val="en-GB"/>
        </w:rPr>
      </w:pPr>
      <w:r>
        <w:rPr>
          <w:rFonts w:ascii="Times New Roman" w:hAnsi="Times New Roman" w:cs="Times New Roman"/>
          <w:b/>
          <w:bCs/>
          <w:lang w:val="en-GB"/>
        </w:rPr>
        <w:lastRenderedPageBreak/>
        <w:t>Figure 5 Changing demographics and</w:t>
      </w:r>
      <w:r w:rsidR="00395DB3">
        <w:rPr>
          <w:rFonts w:ascii="Times New Roman" w:hAnsi="Times New Roman" w:cs="Times New Roman"/>
          <w:b/>
          <w:bCs/>
          <w:lang w:val="en-GB"/>
        </w:rPr>
        <w:t xml:space="preserve"> </w:t>
      </w:r>
      <w:r w:rsidR="005C57FA">
        <w:rPr>
          <w:rFonts w:ascii="Times New Roman" w:hAnsi="Times New Roman" w:cs="Times New Roman"/>
          <w:b/>
          <w:bCs/>
          <w:lang w:val="en-GB"/>
        </w:rPr>
        <w:t>sector sizes</w:t>
      </w:r>
    </w:p>
    <w:p w14:paraId="50D7F14C" w14:textId="1D1421C7" w:rsidR="00395DB3" w:rsidRPr="001120C0" w:rsidRDefault="00C92055" w:rsidP="00D07C26">
      <w:pPr>
        <w:spacing w:line="360" w:lineRule="auto"/>
        <w:jc w:val="both"/>
        <w:rPr>
          <w:rFonts w:ascii="Times New Roman" w:hAnsi="Times New Roman" w:cs="Times New Roman"/>
          <w:b/>
          <w:bCs/>
          <w:lang w:val="en-GB"/>
        </w:rPr>
      </w:pPr>
      <w:r w:rsidRPr="00C92055">
        <w:rPr>
          <w:rFonts w:ascii="Times New Roman" w:hAnsi="Times New Roman" w:cs="Times New Roman"/>
          <w:b/>
          <w:bCs/>
          <w:noProof/>
          <w:lang w:val="en-GB"/>
        </w:rPr>
        <w:drawing>
          <wp:inline distT="0" distB="0" distL="0" distR="0" wp14:anchorId="217804AD" wp14:editId="6CC6AE28">
            <wp:extent cx="4664710" cy="3579495"/>
            <wp:effectExtent l="0" t="0" r="2540" b="1905"/>
            <wp:docPr id="1101117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4710" cy="3579495"/>
                    </a:xfrm>
                    <a:prstGeom prst="rect">
                      <a:avLst/>
                    </a:prstGeom>
                    <a:noFill/>
                    <a:ln>
                      <a:noFill/>
                    </a:ln>
                  </pic:spPr>
                </pic:pic>
              </a:graphicData>
            </a:graphic>
          </wp:inline>
        </w:drawing>
      </w:r>
    </w:p>
    <w:p w14:paraId="63222B8D" w14:textId="33FEBD97" w:rsidR="00C70787" w:rsidRDefault="000A503F" w:rsidP="00D07C2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Initially p</w:t>
      </w:r>
      <w:r w:rsidR="00EB63D9">
        <w:rPr>
          <w:rFonts w:ascii="Times New Roman" w:hAnsi="Times New Roman" w:cs="Times New Roman"/>
          <w:sz w:val="24"/>
          <w:szCs w:val="24"/>
          <w:lang w:val="en-GB"/>
        </w:rPr>
        <w:t xml:space="preserve">roduction is </w:t>
      </w:r>
      <w:r w:rsidR="00E712A4">
        <w:rPr>
          <w:rFonts w:ascii="Times New Roman" w:hAnsi="Times New Roman" w:cs="Times New Roman"/>
          <w:sz w:val="24"/>
          <w:szCs w:val="24"/>
          <w:lang w:val="en-GB"/>
        </w:rPr>
        <w:t>at</w:t>
      </w:r>
      <w:r w:rsidR="00791743">
        <w:rPr>
          <w:rFonts w:ascii="Times New Roman" w:hAnsi="Times New Roman" w:cs="Times New Roman"/>
          <w:sz w:val="24"/>
          <w:szCs w:val="24"/>
          <w:lang w:val="en-GB"/>
        </w:rPr>
        <w:t xml:space="preserve"> </w:t>
      </w:r>
      <w:r w:rsidR="00C70787">
        <w:rPr>
          <w:rFonts w:ascii="Times New Roman" w:hAnsi="Times New Roman" w:cs="Times New Roman"/>
          <w:sz w:val="24"/>
          <w:szCs w:val="24"/>
          <w:lang w:val="en-GB"/>
        </w:rPr>
        <w:t>point</w:t>
      </w:r>
      <w:r w:rsidR="001A298C">
        <w:rPr>
          <w:rFonts w:ascii="Times New Roman" w:hAnsi="Times New Roman" w:cs="Times New Roman"/>
          <w:sz w:val="24"/>
          <w:szCs w:val="24"/>
          <w:lang w:val="en-GB"/>
        </w:rPr>
        <w:t xml:space="preserve"> </w:t>
      </w:r>
      <w:r w:rsidR="001A298C" w:rsidRPr="00602A8C">
        <w:rPr>
          <w:rFonts w:ascii="Times New Roman" w:hAnsi="Times New Roman" w:cs="Times New Roman"/>
          <w:i/>
          <w:iCs/>
          <w:sz w:val="24"/>
          <w:szCs w:val="24"/>
          <w:lang w:val="en-GB"/>
        </w:rPr>
        <w:t>A</w:t>
      </w:r>
      <w:r w:rsidR="00865F78">
        <w:rPr>
          <w:rFonts w:ascii="Times New Roman" w:hAnsi="Times New Roman" w:cs="Times New Roman"/>
          <w:sz w:val="24"/>
          <w:szCs w:val="24"/>
          <w:lang w:val="en-GB"/>
        </w:rPr>
        <w:t>.</w:t>
      </w:r>
      <w:r w:rsidR="00EB63D9">
        <w:rPr>
          <w:rFonts w:ascii="Times New Roman" w:hAnsi="Times New Roman" w:cs="Times New Roman"/>
          <w:sz w:val="24"/>
          <w:szCs w:val="24"/>
          <w:lang w:val="en-GB"/>
        </w:rPr>
        <w:t xml:space="preserve"> </w:t>
      </w:r>
      <w:r w:rsidR="00445E9C">
        <w:rPr>
          <w:rFonts w:ascii="Times New Roman" w:hAnsi="Times New Roman" w:cs="Times New Roman"/>
          <w:sz w:val="24"/>
          <w:szCs w:val="24"/>
          <w:lang w:val="en-GB"/>
        </w:rPr>
        <w:t xml:space="preserve">Output of tradables </w:t>
      </w:r>
      <w:r w:rsidR="00712F30">
        <w:rPr>
          <w:rFonts w:ascii="Times New Roman" w:hAnsi="Times New Roman" w:cs="Times New Roman"/>
          <w:sz w:val="24"/>
          <w:szCs w:val="24"/>
          <w:lang w:val="en-GB"/>
        </w:rPr>
        <w:t xml:space="preserve">is </w:t>
      </w:r>
      <w:r w:rsidR="00712F30" w:rsidRPr="003D541B">
        <w:rPr>
          <w:rFonts w:ascii="Times New Roman" w:hAnsi="Times New Roman" w:cs="Times New Roman"/>
          <w:i/>
          <w:iCs/>
          <w:sz w:val="24"/>
          <w:szCs w:val="24"/>
          <w:lang w:val="en-GB"/>
        </w:rPr>
        <w:t>OG</w:t>
      </w:r>
      <w:r w:rsidR="00712F30">
        <w:rPr>
          <w:rFonts w:ascii="Times New Roman" w:hAnsi="Times New Roman" w:cs="Times New Roman"/>
          <w:sz w:val="24"/>
          <w:szCs w:val="24"/>
          <w:lang w:val="en-GB"/>
        </w:rPr>
        <w:t xml:space="preserve"> and of nontradables </w:t>
      </w:r>
      <w:r w:rsidR="00712F30" w:rsidRPr="003D541B">
        <w:rPr>
          <w:rFonts w:ascii="Times New Roman" w:hAnsi="Times New Roman" w:cs="Times New Roman"/>
          <w:i/>
          <w:iCs/>
          <w:sz w:val="24"/>
          <w:szCs w:val="24"/>
          <w:lang w:val="en-GB"/>
        </w:rPr>
        <w:t>OJ</w:t>
      </w:r>
      <w:r w:rsidR="00712F30">
        <w:rPr>
          <w:rFonts w:ascii="Times New Roman" w:hAnsi="Times New Roman" w:cs="Times New Roman"/>
          <w:sz w:val="24"/>
          <w:szCs w:val="24"/>
          <w:lang w:val="en-GB"/>
        </w:rPr>
        <w:t>.</w:t>
      </w:r>
      <w:r w:rsidR="00865F78">
        <w:rPr>
          <w:rFonts w:ascii="Times New Roman" w:hAnsi="Times New Roman" w:cs="Times New Roman"/>
          <w:sz w:val="24"/>
          <w:szCs w:val="24"/>
          <w:lang w:val="en-GB"/>
        </w:rPr>
        <w:t xml:space="preserve"> The slope </w:t>
      </w:r>
      <w:r w:rsidR="00236DE2">
        <w:rPr>
          <w:rFonts w:ascii="Times New Roman" w:hAnsi="Times New Roman" w:cs="Times New Roman"/>
          <w:sz w:val="24"/>
          <w:szCs w:val="24"/>
          <w:lang w:val="en-GB"/>
        </w:rPr>
        <w:t>of the line that is tangent to the frontier</w:t>
      </w:r>
      <w:r w:rsidR="00510CE1">
        <w:rPr>
          <w:rFonts w:ascii="Times New Roman" w:hAnsi="Times New Roman" w:cs="Times New Roman"/>
          <w:sz w:val="24"/>
          <w:szCs w:val="24"/>
          <w:lang w:val="en-GB"/>
        </w:rPr>
        <w:t xml:space="preserve"> </w:t>
      </w:r>
      <w:r w:rsidR="001A1679">
        <w:rPr>
          <w:rFonts w:ascii="Times New Roman" w:hAnsi="Times New Roman" w:cs="Times New Roman"/>
          <w:sz w:val="24"/>
          <w:szCs w:val="24"/>
          <w:lang w:val="en-GB"/>
        </w:rPr>
        <w:t xml:space="preserve">at </w:t>
      </w:r>
      <w:r w:rsidR="001A1679" w:rsidRPr="00602A8C">
        <w:rPr>
          <w:rFonts w:ascii="Times New Roman" w:hAnsi="Times New Roman" w:cs="Times New Roman"/>
          <w:i/>
          <w:iCs/>
          <w:sz w:val="24"/>
          <w:szCs w:val="24"/>
          <w:lang w:val="en-GB"/>
        </w:rPr>
        <w:t>A</w:t>
      </w:r>
      <w:r w:rsidR="001A1679">
        <w:rPr>
          <w:rFonts w:ascii="Times New Roman" w:hAnsi="Times New Roman" w:cs="Times New Roman"/>
          <w:sz w:val="24"/>
          <w:szCs w:val="24"/>
          <w:lang w:val="en-GB"/>
        </w:rPr>
        <w:t xml:space="preserve"> </w:t>
      </w:r>
      <w:r w:rsidR="00510CE1">
        <w:rPr>
          <w:rFonts w:ascii="Times New Roman" w:hAnsi="Times New Roman" w:cs="Times New Roman"/>
          <w:sz w:val="24"/>
          <w:szCs w:val="24"/>
          <w:lang w:val="en-GB"/>
        </w:rPr>
        <w:t>measures the</w:t>
      </w:r>
      <w:r w:rsidR="001A1679">
        <w:rPr>
          <w:rFonts w:ascii="Times New Roman" w:hAnsi="Times New Roman" w:cs="Times New Roman"/>
          <w:sz w:val="24"/>
          <w:szCs w:val="24"/>
          <w:lang w:val="en-GB"/>
        </w:rPr>
        <w:t xml:space="preserve"> initial</w:t>
      </w:r>
      <w:r w:rsidR="00510CE1">
        <w:rPr>
          <w:rFonts w:ascii="Times New Roman" w:hAnsi="Times New Roman" w:cs="Times New Roman"/>
          <w:sz w:val="24"/>
          <w:szCs w:val="24"/>
          <w:lang w:val="en-GB"/>
        </w:rPr>
        <w:t xml:space="preserve"> relative price between </w:t>
      </w:r>
      <w:r w:rsidR="004A06AA">
        <w:rPr>
          <w:rFonts w:ascii="Times New Roman" w:hAnsi="Times New Roman" w:cs="Times New Roman"/>
          <w:sz w:val="24"/>
          <w:szCs w:val="24"/>
          <w:lang w:val="en-GB"/>
        </w:rPr>
        <w:t>the goods</w:t>
      </w:r>
      <w:r w:rsidR="004C2A40">
        <w:rPr>
          <w:rFonts w:ascii="Times New Roman" w:hAnsi="Times New Roman" w:cs="Times New Roman"/>
          <w:sz w:val="24"/>
          <w:szCs w:val="24"/>
          <w:lang w:val="en-GB"/>
        </w:rPr>
        <w:t xml:space="preserve">. </w:t>
      </w:r>
      <w:r w:rsidR="001A1679">
        <w:rPr>
          <w:rFonts w:ascii="Times New Roman" w:hAnsi="Times New Roman" w:cs="Times New Roman"/>
          <w:sz w:val="24"/>
          <w:szCs w:val="24"/>
          <w:lang w:val="en-GB"/>
        </w:rPr>
        <w:t>(The</w:t>
      </w:r>
      <w:r w:rsidR="004C2A40">
        <w:rPr>
          <w:rFonts w:ascii="Times New Roman" w:hAnsi="Times New Roman" w:cs="Times New Roman"/>
          <w:sz w:val="24"/>
          <w:szCs w:val="24"/>
          <w:lang w:val="en-GB"/>
        </w:rPr>
        <w:t xml:space="preserve"> steeper</w:t>
      </w:r>
      <w:r w:rsidR="001A1679">
        <w:rPr>
          <w:rFonts w:ascii="Times New Roman" w:hAnsi="Times New Roman" w:cs="Times New Roman"/>
          <w:sz w:val="24"/>
          <w:szCs w:val="24"/>
          <w:lang w:val="en-GB"/>
        </w:rPr>
        <w:t xml:space="preserve"> the slope, the</w:t>
      </w:r>
      <w:r w:rsidR="004C2A40">
        <w:rPr>
          <w:rFonts w:ascii="Times New Roman" w:hAnsi="Times New Roman" w:cs="Times New Roman"/>
          <w:sz w:val="24"/>
          <w:szCs w:val="24"/>
          <w:lang w:val="en-GB"/>
        </w:rPr>
        <w:t xml:space="preserve"> higher </w:t>
      </w:r>
      <w:r w:rsidR="001A1679">
        <w:rPr>
          <w:rFonts w:ascii="Times New Roman" w:hAnsi="Times New Roman" w:cs="Times New Roman"/>
          <w:sz w:val="24"/>
          <w:szCs w:val="24"/>
          <w:lang w:val="en-GB"/>
        </w:rPr>
        <w:t xml:space="preserve">the </w:t>
      </w:r>
      <w:r w:rsidR="004C2A40">
        <w:rPr>
          <w:rFonts w:ascii="Times New Roman" w:hAnsi="Times New Roman" w:cs="Times New Roman"/>
          <w:sz w:val="24"/>
          <w:szCs w:val="24"/>
          <w:lang w:val="en-GB"/>
        </w:rPr>
        <w:t>relative price</w:t>
      </w:r>
      <w:r w:rsidR="00D60A7B">
        <w:rPr>
          <w:rFonts w:ascii="Times New Roman" w:hAnsi="Times New Roman" w:cs="Times New Roman"/>
          <w:sz w:val="24"/>
          <w:szCs w:val="24"/>
          <w:lang w:val="en-GB"/>
        </w:rPr>
        <w:t xml:space="preserve"> </w:t>
      </w:r>
      <w:r w:rsidR="001A1679">
        <w:rPr>
          <w:rFonts w:ascii="Times New Roman" w:hAnsi="Times New Roman" w:cs="Times New Roman"/>
          <w:sz w:val="24"/>
          <w:szCs w:val="24"/>
          <w:lang w:val="en-GB"/>
        </w:rPr>
        <w:t>of</w:t>
      </w:r>
      <w:r w:rsidR="00D60A7B">
        <w:rPr>
          <w:rFonts w:ascii="Times New Roman" w:hAnsi="Times New Roman" w:cs="Times New Roman"/>
          <w:sz w:val="24"/>
          <w:szCs w:val="24"/>
          <w:lang w:val="en-GB"/>
        </w:rPr>
        <w:t xml:space="preserve"> nontradables</w:t>
      </w:r>
      <w:r w:rsidR="001A1679">
        <w:rPr>
          <w:rFonts w:ascii="Times New Roman" w:hAnsi="Times New Roman" w:cs="Times New Roman"/>
          <w:sz w:val="24"/>
          <w:szCs w:val="24"/>
          <w:lang w:val="en-GB"/>
        </w:rPr>
        <w:t>)</w:t>
      </w:r>
      <w:r w:rsidR="006554AB">
        <w:rPr>
          <w:rFonts w:ascii="Times New Roman" w:hAnsi="Times New Roman" w:cs="Times New Roman"/>
          <w:sz w:val="24"/>
          <w:szCs w:val="24"/>
          <w:lang w:val="en-GB"/>
        </w:rPr>
        <w:t>.</w:t>
      </w:r>
      <w:r w:rsidR="00016212">
        <w:rPr>
          <w:rFonts w:ascii="Times New Roman" w:hAnsi="Times New Roman" w:cs="Times New Roman"/>
          <w:sz w:val="24"/>
          <w:szCs w:val="24"/>
          <w:lang w:val="en-GB"/>
        </w:rPr>
        <w:t xml:space="preserve"> The tangency between the production possibility curve and the </w:t>
      </w:r>
      <w:r w:rsidR="008D05A1">
        <w:rPr>
          <w:rFonts w:ascii="Times New Roman" w:hAnsi="Times New Roman" w:cs="Times New Roman"/>
          <w:sz w:val="24"/>
          <w:szCs w:val="24"/>
          <w:lang w:val="en-GB"/>
        </w:rPr>
        <w:t xml:space="preserve">price line implies </w:t>
      </w:r>
      <w:r w:rsidR="00F771E4">
        <w:rPr>
          <w:rFonts w:ascii="Times New Roman" w:hAnsi="Times New Roman" w:cs="Times New Roman"/>
          <w:sz w:val="24"/>
          <w:szCs w:val="24"/>
          <w:lang w:val="en-GB"/>
        </w:rPr>
        <w:t xml:space="preserve">both </w:t>
      </w:r>
      <w:r w:rsidR="00A85296">
        <w:rPr>
          <w:rFonts w:ascii="Times New Roman" w:hAnsi="Times New Roman" w:cs="Times New Roman"/>
          <w:sz w:val="24"/>
          <w:szCs w:val="24"/>
          <w:lang w:val="en-GB"/>
        </w:rPr>
        <w:t>profit maximisation by firms</w:t>
      </w:r>
      <w:r w:rsidR="000A3359">
        <w:rPr>
          <w:rFonts w:ascii="Times New Roman" w:hAnsi="Times New Roman" w:cs="Times New Roman"/>
          <w:sz w:val="24"/>
          <w:szCs w:val="24"/>
          <w:lang w:val="en-GB"/>
        </w:rPr>
        <w:t xml:space="preserve"> and a socially efficient labour allocation</w:t>
      </w:r>
      <w:r w:rsidR="00F771E4">
        <w:rPr>
          <w:rFonts w:ascii="Times New Roman" w:hAnsi="Times New Roman" w:cs="Times New Roman"/>
          <w:sz w:val="24"/>
          <w:szCs w:val="24"/>
          <w:lang w:val="en-GB"/>
        </w:rPr>
        <w:t>.</w:t>
      </w:r>
      <w:r w:rsidR="00C665EE">
        <w:rPr>
          <w:rStyle w:val="FootnoteReference"/>
          <w:rFonts w:ascii="Times New Roman" w:hAnsi="Times New Roman" w:cs="Times New Roman"/>
          <w:sz w:val="24"/>
          <w:szCs w:val="24"/>
          <w:lang w:val="en-GB"/>
        </w:rPr>
        <w:footnoteReference w:id="37"/>
      </w:r>
      <w:r w:rsidR="001A1679">
        <w:rPr>
          <w:rFonts w:ascii="Times New Roman" w:hAnsi="Times New Roman" w:cs="Times New Roman"/>
          <w:sz w:val="24"/>
          <w:szCs w:val="24"/>
          <w:lang w:val="en-GB"/>
        </w:rPr>
        <w:t xml:space="preserve"> </w:t>
      </w:r>
      <w:r w:rsidR="00C70787">
        <w:rPr>
          <w:rFonts w:ascii="Times New Roman" w:hAnsi="Times New Roman" w:cs="Times New Roman"/>
          <w:sz w:val="24"/>
          <w:szCs w:val="24"/>
          <w:lang w:val="en-GB"/>
        </w:rPr>
        <w:t xml:space="preserve">Initial consumption is </w:t>
      </w:r>
      <w:r w:rsidR="004C2DC0">
        <w:rPr>
          <w:rFonts w:ascii="Times New Roman" w:hAnsi="Times New Roman" w:cs="Times New Roman"/>
          <w:sz w:val="24"/>
          <w:szCs w:val="24"/>
          <w:lang w:val="en-GB"/>
        </w:rPr>
        <w:t>at</w:t>
      </w:r>
      <w:r w:rsidR="00791743">
        <w:rPr>
          <w:rFonts w:ascii="Times New Roman" w:hAnsi="Times New Roman" w:cs="Times New Roman"/>
          <w:sz w:val="24"/>
          <w:szCs w:val="24"/>
          <w:lang w:val="en-GB"/>
        </w:rPr>
        <w:t xml:space="preserve"> </w:t>
      </w:r>
      <w:r w:rsidR="00791743">
        <w:rPr>
          <w:rFonts w:ascii="Times New Roman" w:hAnsi="Times New Roman" w:cs="Times New Roman"/>
          <w:i/>
          <w:iCs/>
          <w:sz w:val="24"/>
          <w:szCs w:val="24"/>
          <w:lang w:val="en-GB"/>
        </w:rPr>
        <w:t>B</w:t>
      </w:r>
      <w:r w:rsidR="00A24EAF">
        <w:rPr>
          <w:rFonts w:ascii="Times New Roman" w:hAnsi="Times New Roman" w:cs="Times New Roman"/>
          <w:sz w:val="24"/>
          <w:szCs w:val="24"/>
          <w:lang w:val="en-GB"/>
        </w:rPr>
        <w:t>.</w:t>
      </w:r>
      <w:r w:rsidR="00712F30">
        <w:rPr>
          <w:rFonts w:ascii="Times New Roman" w:hAnsi="Times New Roman" w:cs="Times New Roman"/>
          <w:sz w:val="24"/>
          <w:szCs w:val="24"/>
          <w:lang w:val="en-GB"/>
        </w:rPr>
        <w:t xml:space="preserve"> Consumption</w:t>
      </w:r>
      <w:r w:rsidR="00C46E52">
        <w:rPr>
          <w:rFonts w:ascii="Times New Roman" w:hAnsi="Times New Roman" w:cs="Times New Roman"/>
          <w:sz w:val="24"/>
          <w:szCs w:val="24"/>
          <w:lang w:val="en-GB"/>
        </w:rPr>
        <w:t xml:space="preserve"> </w:t>
      </w:r>
      <w:r w:rsidR="00712F30">
        <w:rPr>
          <w:rFonts w:ascii="Times New Roman" w:hAnsi="Times New Roman" w:cs="Times New Roman"/>
          <w:sz w:val="24"/>
          <w:szCs w:val="24"/>
          <w:lang w:val="en-GB"/>
        </w:rPr>
        <w:t>of nontrad</w:t>
      </w:r>
      <w:r w:rsidR="00077D4B">
        <w:rPr>
          <w:rFonts w:ascii="Times New Roman" w:hAnsi="Times New Roman" w:cs="Times New Roman"/>
          <w:sz w:val="24"/>
          <w:szCs w:val="24"/>
          <w:lang w:val="en-GB"/>
        </w:rPr>
        <w:t>ables equals production</w:t>
      </w:r>
      <w:r w:rsidR="00C46E52">
        <w:rPr>
          <w:rFonts w:ascii="Times New Roman" w:hAnsi="Times New Roman" w:cs="Times New Roman"/>
          <w:sz w:val="24"/>
          <w:szCs w:val="24"/>
          <w:lang w:val="en-GB"/>
        </w:rPr>
        <w:t xml:space="preserve"> </w:t>
      </w:r>
      <w:r w:rsidR="00077D4B" w:rsidRPr="003D541B">
        <w:rPr>
          <w:rFonts w:ascii="Times New Roman" w:hAnsi="Times New Roman" w:cs="Times New Roman"/>
          <w:i/>
          <w:iCs/>
          <w:sz w:val="24"/>
          <w:szCs w:val="24"/>
          <w:lang w:val="en-GB"/>
        </w:rPr>
        <w:t>OJ</w:t>
      </w:r>
      <w:r w:rsidR="00C46E52">
        <w:rPr>
          <w:rFonts w:ascii="Times New Roman" w:hAnsi="Times New Roman" w:cs="Times New Roman"/>
          <w:sz w:val="24"/>
          <w:szCs w:val="24"/>
          <w:lang w:val="en-GB"/>
        </w:rPr>
        <w:t xml:space="preserve">. But consumption </w:t>
      </w:r>
      <w:r w:rsidR="00791883">
        <w:rPr>
          <w:rFonts w:ascii="Times New Roman" w:hAnsi="Times New Roman" w:cs="Times New Roman"/>
          <w:sz w:val="24"/>
          <w:szCs w:val="24"/>
          <w:lang w:val="en-GB"/>
        </w:rPr>
        <w:t xml:space="preserve">of tradables </w:t>
      </w:r>
      <w:r w:rsidR="00791883" w:rsidRPr="003D541B">
        <w:rPr>
          <w:rFonts w:ascii="Times New Roman" w:hAnsi="Times New Roman" w:cs="Times New Roman"/>
          <w:i/>
          <w:iCs/>
          <w:sz w:val="24"/>
          <w:szCs w:val="24"/>
          <w:lang w:val="en-GB"/>
        </w:rPr>
        <w:t>OC</w:t>
      </w:r>
      <w:r w:rsidR="00791883">
        <w:rPr>
          <w:rFonts w:ascii="Times New Roman" w:hAnsi="Times New Roman" w:cs="Times New Roman"/>
          <w:sz w:val="24"/>
          <w:szCs w:val="24"/>
          <w:lang w:val="en-GB"/>
        </w:rPr>
        <w:t xml:space="preserve"> is smaller </w:t>
      </w:r>
      <w:r w:rsidR="00946B83">
        <w:rPr>
          <w:rFonts w:ascii="Times New Roman" w:hAnsi="Times New Roman" w:cs="Times New Roman"/>
          <w:sz w:val="24"/>
          <w:szCs w:val="24"/>
          <w:lang w:val="en-GB"/>
        </w:rPr>
        <w:t xml:space="preserve">than production </w:t>
      </w:r>
      <w:r w:rsidR="00946B83" w:rsidRPr="003D541B">
        <w:rPr>
          <w:rFonts w:ascii="Times New Roman" w:hAnsi="Times New Roman" w:cs="Times New Roman"/>
          <w:i/>
          <w:iCs/>
          <w:sz w:val="24"/>
          <w:szCs w:val="24"/>
          <w:lang w:val="en-GB"/>
        </w:rPr>
        <w:t>OG</w:t>
      </w:r>
      <w:r w:rsidR="003D541B">
        <w:rPr>
          <w:rFonts w:ascii="Times New Roman" w:hAnsi="Times New Roman" w:cs="Times New Roman"/>
          <w:sz w:val="24"/>
          <w:szCs w:val="24"/>
          <w:lang w:val="en-GB"/>
        </w:rPr>
        <w:t xml:space="preserve">. The difference </w:t>
      </w:r>
      <w:r w:rsidR="003D541B" w:rsidRPr="003D541B">
        <w:rPr>
          <w:rFonts w:ascii="Times New Roman" w:hAnsi="Times New Roman" w:cs="Times New Roman"/>
          <w:i/>
          <w:iCs/>
          <w:sz w:val="24"/>
          <w:szCs w:val="24"/>
          <w:lang w:val="en-GB"/>
        </w:rPr>
        <w:t>AB</w:t>
      </w:r>
      <w:r w:rsidR="00330488">
        <w:rPr>
          <w:rFonts w:ascii="Times New Roman" w:hAnsi="Times New Roman" w:cs="Times New Roman"/>
          <w:sz w:val="24"/>
          <w:szCs w:val="24"/>
          <w:lang w:val="en-GB"/>
        </w:rPr>
        <w:t xml:space="preserve"> equals net exports</w:t>
      </w:r>
      <w:r w:rsidR="00A309EB">
        <w:rPr>
          <w:rFonts w:ascii="Times New Roman" w:hAnsi="Times New Roman" w:cs="Times New Roman"/>
          <w:sz w:val="24"/>
          <w:szCs w:val="24"/>
          <w:lang w:val="en-GB"/>
        </w:rPr>
        <w:t xml:space="preserve"> (</w:t>
      </w:r>
      <w:r w:rsidR="00A67749">
        <w:rPr>
          <w:rFonts w:ascii="Times New Roman" w:hAnsi="Times New Roman" w:cs="Times New Roman"/>
          <w:sz w:val="24"/>
          <w:szCs w:val="24"/>
          <w:lang w:val="en-GB"/>
        </w:rPr>
        <w:t>a</w:t>
      </w:r>
      <w:r w:rsidR="00A309EB">
        <w:rPr>
          <w:rFonts w:ascii="Times New Roman" w:hAnsi="Times New Roman" w:cs="Times New Roman"/>
          <w:sz w:val="24"/>
          <w:szCs w:val="24"/>
          <w:lang w:val="en-GB"/>
        </w:rPr>
        <w:t xml:space="preserve"> trade balance</w:t>
      </w:r>
      <w:r w:rsidR="00A67749">
        <w:rPr>
          <w:rFonts w:ascii="Times New Roman" w:hAnsi="Times New Roman" w:cs="Times New Roman"/>
          <w:sz w:val="24"/>
          <w:szCs w:val="24"/>
          <w:lang w:val="en-GB"/>
        </w:rPr>
        <w:t xml:space="preserve"> surplus</w:t>
      </w:r>
      <w:r w:rsidR="00A309EB">
        <w:rPr>
          <w:rFonts w:ascii="Times New Roman" w:hAnsi="Times New Roman" w:cs="Times New Roman"/>
          <w:sz w:val="24"/>
          <w:szCs w:val="24"/>
          <w:lang w:val="en-GB"/>
        </w:rPr>
        <w:t>)</w:t>
      </w:r>
      <w:r w:rsidR="00572682">
        <w:rPr>
          <w:rFonts w:ascii="Times New Roman" w:hAnsi="Times New Roman" w:cs="Times New Roman"/>
          <w:sz w:val="24"/>
          <w:szCs w:val="24"/>
          <w:lang w:val="en-GB"/>
        </w:rPr>
        <w:t xml:space="preserve">, </w:t>
      </w:r>
      <w:r w:rsidR="0025260A">
        <w:rPr>
          <w:rFonts w:ascii="Times New Roman" w:hAnsi="Times New Roman" w:cs="Times New Roman"/>
          <w:sz w:val="24"/>
          <w:szCs w:val="24"/>
          <w:lang w:val="en-GB"/>
        </w:rPr>
        <w:t>i.e.</w:t>
      </w:r>
      <w:r w:rsidR="00572682">
        <w:rPr>
          <w:rFonts w:ascii="Times New Roman" w:hAnsi="Times New Roman" w:cs="Times New Roman"/>
          <w:sz w:val="24"/>
          <w:szCs w:val="24"/>
          <w:lang w:val="en-GB"/>
        </w:rPr>
        <w:t xml:space="preserve"> </w:t>
      </w:r>
      <w:r w:rsidR="008E70BC">
        <w:rPr>
          <w:rFonts w:ascii="Times New Roman" w:hAnsi="Times New Roman" w:cs="Times New Roman"/>
          <w:sz w:val="24"/>
          <w:szCs w:val="24"/>
          <w:lang w:val="en-GB"/>
        </w:rPr>
        <w:t xml:space="preserve">positive </w:t>
      </w:r>
      <w:r w:rsidR="00572682">
        <w:rPr>
          <w:rFonts w:ascii="Times New Roman" w:hAnsi="Times New Roman" w:cs="Times New Roman"/>
          <w:sz w:val="24"/>
          <w:szCs w:val="24"/>
          <w:lang w:val="en-GB"/>
        </w:rPr>
        <w:t>financial saving</w:t>
      </w:r>
      <w:r w:rsidR="0025260A">
        <w:rPr>
          <w:rFonts w:ascii="Times New Roman" w:hAnsi="Times New Roman" w:cs="Times New Roman"/>
          <w:sz w:val="24"/>
          <w:szCs w:val="24"/>
          <w:lang w:val="en-GB"/>
        </w:rPr>
        <w:t xml:space="preserve"> </w:t>
      </w:r>
      <w:r w:rsidR="0072154F">
        <w:rPr>
          <w:rFonts w:ascii="Times New Roman" w:hAnsi="Times New Roman" w:cs="Times New Roman"/>
          <w:sz w:val="24"/>
          <w:szCs w:val="24"/>
          <w:lang w:val="en-GB"/>
        </w:rPr>
        <w:t xml:space="preserve">– </w:t>
      </w:r>
      <w:r w:rsidR="0025260A">
        <w:rPr>
          <w:rFonts w:ascii="Times New Roman" w:hAnsi="Times New Roman" w:cs="Times New Roman"/>
          <w:sz w:val="24"/>
          <w:szCs w:val="24"/>
          <w:lang w:val="en-GB"/>
        </w:rPr>
        <w:t>corresponding</w:t>
      </w:r>
      <w:r w:rsidR="00612411">
        <w:rPr>
          <w:rFonts w:ascii="Times New Roman" w:hAnsi="Times New Roman" w:cs="Times New Roman"/>
          <w:sz w:val="24"/>
          <w:szCs w:val="24"/>
          <w:lang w:val="en-GB"/>
        </w:rPr>
        <w:t xml:space="preserve"> to the current situation</w:t>
      </w:r>
      <w:r w:rsidR="0072154F">
        <w:rPr>
          <w:rFonts w:ascii="Times New Roman" w:hAnsi="Times New Roman" w:cs="Times New Roman"/>
          <w:sz w:val="24"/>
          <w:szCs w:val="24"/>
          <w:lang w:val="en-GB"/>
        </w:rPr>
        <w:t xml:space="preserve"> in Denmark, Norway and Sweden</w:t>
      </w:r>
      <w:r w:rsidR="00F547B7">
        <w:rPr>
          <w:rFonts w:ascii="Times New Roman" w:hAnsi="Times New Roman" w:cs="Times New Roman"/>
          <w:sz w:val="24"/>
          <w:szCs w:val="24"/>
          <w:lang w:val="en-GB"/>
        </w:rPr>
        <w:t>.</w:t>
      </w:r>
      <w:r w:rsidR="000B0C61">
        <w:rPr>
          <w:rFonts w:ascii="Times New Roman" w:hAnsi="Times New Roman" w:cs="Times New Roman"/>
          <w:sz w:val="24"/>
          <w:szCs w:val="24"/>
          <w:lang w:val="en-GB"/>
        </w:rPr>
        <w:t xml:space="preserve"> </w:t>
      </w:r>
    </w:p>
    <w:p w14:paraId="4957F471" w14:textId="3137E2A5" w:rsidR="00283B27" w:rsidRDefault="005731DD" w:rsidP="00D07C2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Assume now that the number of pensioners </w:t>
      </w:r>
      <w:r w:rsidR="00DF0391">
        <w:rPr>
          <w:rFonts w:ascii="Times New Roman" w:hAnsi="Times New Roman" w:cs="Times New Roman"/>
          <w:sz w:val="24"/>
          <w:szCs w:val="24"/>
          <w:lang w:val="en-GB"/>
        </w:rPr>
        <w:t>rise</w:t>
      </w:r>
      <w:r w:rsidR="00226013">
        <w:rPr>
          <w:rFonts w:ascii="Times New Roman" w:hAnsi="Times New Roman" w:cs="Times New Roman"/>
          <w:sz w:val="24"/>
          <w:szCs w:val="24"/>
          <w:lang w:val="en-GB"/>
        </w:rPr>
        <w:t>s</w:t>
      </w:r>
      <w:r w:rsidR="007573FD">
        <w:rPr>
          <w:rFonts w:ascii="Times New Roman" w:hAnsi="Times New Roman" w:cs="Times New Roman"/>
          <w:sz w:val="24"/>
          <w:szCs w:val="24"/>
          <w:lang w:val="en-GB"/>
        </w:rPr>
        <w:t xml:space="preserve">. This </w:t>
      </w:r>
      <w:r w:rsidR="001C05D1">
        <w:rPr>
          <w:rFonts w:ascii="Times New Roman" w:hAnsi="Times New Roman" w:cs="Times New Roman"/>
          <w:sz w:val="24"/>
          <w:szCs w:val="24"/>
          <w:lang w:val="en-GB"/>
        </w:rPr>
        <w:t>reduces</w:t>
      </w:r>
      <w:r w:rsidR="00226013">
        <w:rPr>
          <w:rFonts w:ascii="Times New Roman" w:hAnsi="Times New Roman" w:cs="Times New Roman"/>
          <w:sz w:val="24"/>
          <w:szCs w:val="24"/>
          <w:lang w:val="en-GB"/>
        </w:rPr>
        <w:t xml:space="preserve"> overall</w:t>
      </w:r>
      <w:r w:rsidR="001C05D1">
        <w:rPr>
          <w:rFonts w:ascii="Times New Roman" w:hAnsi="Times New Roman" w:cs="Times New Roman"/>
          <w:sz w:val="24"/>
          <w:szCs w:val="24"/>
          <w:lang w:val="en-GB"/>
        </w:rPr>
        <w:t xml:space="preserve"> saving in the economy and </w:t>
      </w:r>
      <w:r w:rsidR="004D6090">
        <w:rPr>
          <w:rFonts w:ascii="Times New Roman" w:hAnsi="Times New Roman" w:cs="Times New Roman"/>
          <w:sz w:val="24"/>
          <w:szCs w:val="24"/>
          <w:lang w:val="en-GB"/>
        </w:rPr>
        <w:t xml:space="preserve">raises </w:t>
      </w:r>
      <w:r w:rsidR="001C05D1">
        <w:rPr>
          <w:rFonts w:ascii="Times New Roman" w:hAnsi="Times New Roman" w:cs="Times New Roman"/>
          <w:sz w:val="24"/>
          <w:szCs w:val="24"/>
          <w:lang w:val="en-GB"/>
        </w:rPr>
        <w:t>consumption demand</w:t>
      </w:r>
      <w:r w:rsidR="003F28CC">
        <w:rPr>
          <w:rFonts w:ascii="Times New Roman" w:hAnsi="Times New Roman" w:cs="Times New Roman"/>
          <w:sz w:val="24"/>
          <w:szCs w:val="24"/>
          <w:lang w:val="en-GB"/>
        </w:rPr>
        <w:t xml:space="preserve">. The consequences are easiest to illustrate </w:t>
      </w:r>
      <w:r w:rsidR="00F6276B">
        <w:rPr>
          <w:rFonts w:ascii="Times New Roman" w:hAnsi="Times New Roman" w:cs="Times New Roman"/>
          <w:sz w:val="24"/>
          <w:szCs w:val="24"/>
          <w:lang w:val="en-GB"/>
        </w:rPr>
        <w:t xml:space="preserve">in </w:t>
      </w:r>
      <w:r w:rsidR="004D6090">
        <w:rPr>
          <w:rFonts w:ascii="Times New Roman" w:hAnsi="Times New Roman" w:cs="Times New Roman"/>
          <w:sz w:val="24"/>
          <w:szCs w:val="24"/>
          <w:lang w:val="en-GB"/>
        </w:rPr>
        <w:t>the case</w:t>
      </w:r>
      <w:r w:rsidR="00F6276B">
        <w:rPr>
          <w:rFonts w:ascii="Times New Roman" w:hAnsi="Times New Roman" w:cs="Times New Roman"/>
          <w:sz w:val="24"/>
          <w:szCs w:val="24"/>
          <w:lang w:val="en-GB"/>
        </w:rPr>
        <w:t xml:space="preserve"> with a </w:t>
      </w:r>
      <w:r w:rsidR="00FD0E66">
        <w:rPr>
          <w:rFonts w:ascii="Times New Roman" w:hAnsi="Times New Roman" w:cs="Times New Roman"/>
          <w:sz w:val="24"/>
          <w:szCs w:val="24"/>
          <w:lang w:val="en-GB"/>
        </w:rPr>
        <w:t xml:space="preserve">fixed exchange rate. Then the price of tradables is </w:t>
      </w:r>
      <w:r w:rsidR="001A1679">
        <w:rPr>
          <w:rFonts w:ascii="Times New Roman" w:hAnsi="Times New Roman" w:cs="Times New Roman"/>
          <w:sz w:val="24"/>
          <w:szCs w:val="24"/>
          <w:lang w:val="en-GB"/>
        </w:rPr>
        <w:t>unchanged</w:t>
      </w:r>
      <w:r w:rsidR="00FD0E66">
        <w:rPr>
          <w:rFonts w:ascii="Times New Roman" w:hAnsi="Times New Roman" w:cs="Times New Roman"/>
          <w:sz w:val="24"/>
          <w:szCs w:val="24"/>
          <w:lang w:val="en-GB"/>
        </w:rPr>
        <w:t xml:space="preserve"> as it is determined abroad. But the price o</w:t>
      </w:r>
      <w:r w:rsidR="002A01F7">
        <w:rPr>
          <w:rFonts w:ascii="Times New Roman" w:hAnsi="Times New Roman" w:cs="Times New Roman"/>
          <w:sz w:val="24"/>
          <w:szCs w:val="24"/>
          <w:lang w:val="en-GB"/>
        </w:rPr>
        <w:t>f</w:t>
      </w:r>
      <w:r w:rsidR="00FD0E66">
        <w:rPr>
          <w:rFonts w:ascii="Times New Roman" w:hAnsi="Times New Roman" w:cs="Times New Roman"/>
          <w:sz w:val="24"/>
          <w:szCs w:val="24"/>
          <w:lang w:val="en-GB"/>
        </w:rPr>
        <w:t xml:space="preserve"> non</w:t>
      </w:r>
      <w:r w:rsidR="00950252">
        <w:rPr>
          <w:rFonts w:ascii="Times New Roman" w:hAnsi="Times New Roman" w:cs="Times New Roman"/>
          <w:sz w:val="24"/>
          <w:szCs w:val="24"/>
          <w:lang w:val="en-GB"/>
        </w:rPr>
        <w:t>-tradables rises. The</w:t>
      </w:r>
      <w:r w:rsidR="004046E7">
        <w:rPr>
          <w:rFonts w:ascii="Times New Roman" w:hAnsi="Times New Roman" w:cs="Times New Roman"/>
          <w:sz w:val="24"/>
          <w:szCs w:val="24"/>
          <w:lang w:val="en-GB"/>
        </w:rPr>
        <w:t xml:space="preserve"> price line becomes steeper. Production moves to </w:t>
      </w:r>
      <w:r w:rsidR="00E35E05">
        <w:rPr>
          <w:rFonts w:ascii="Times New Roman" w:hAnsi="Times New Roman" w:cs="Times New Roman"/>
          <w:i/>
          <w:iCs/>
          <w:sz w:val="24"/>
          <w:szCs w:val="24"/>
          <w:lang w:val="en-GB"/>
        </w:rPr>
        <w:t>A’</w:t>
      </w:r>
      <w:r w:rsidR="0002051D">
        <w:rPr>
          <w:rFonts w:ascii="Times New Roman" w:hAnsi="Times New Roman" w:cs="Times New Roman"/>
          <w:sz w:val="24"/>
          <w:szCs w:val="24"/>
          <w:lang w:val="en-GB"/>
        </w:rPr>
        <w:t xml:space="preserve">. </w:t>
      </w:r>
      <w:r w:rsidR="006E5582">
        <w:rPr>
          <w:rFonts w:ascii="Times New Roman" w:hAnsi="Times New Roman" w:cs="Times New Roman"/>
          <w:sz w:val="24"/>
          <w:szCs w:val="24"/>
          <w:lang w:val="en-GB"/>
        </w:rPr>
        <w:t xml:space="preserve">Output of nontradables </w:t>
      </w:r>
      <w:r w:rsidR="003E607E">
        <w:rPr>
          <w:rFonts w:ascii="Times New Roman" w:hAnsi="Times New Roman" w:cs="Times New Roman"/>
          <w:sz w:val="24"/>
          <w:szCs w:val="24"/>
          <w:lang w:val="en-GB"/>
        </w:rPr>
        <w:t>rises</w:t>
      </w:r>
      <w:r w:rsidR="006E5582">
        <w:rPr>
          <w:rFonts w:ascii="Times New Roman" w:hAnsi="Times New Roman" w:cs="Times New Roman"/>
          <w:sz w:val="24"/>
          <w:szCs w:val="24"/>
          <w:lang w:val="en-GB"/>
        </w:rPr>
        <w:t xml:space="preserve"> to </w:t>
      </w:r>
      <w:r w:rsidR="006E5582">
        <w:rPr>
          <w:rFonts w:ascii="Times New Roman" w:hAnsi="Times New Roman" w:cs="Times New Roman"/>
          <w:i/>
          <w:iCs/>
          <w:sz w:val="24"/>
          <w:szCs w:val="24"/>
          <w:lang w:val="en-GB"/>
        </w:rPr>
        <w:t>OD</w:t>
      </w:r>
      <w:r w:rsidR="003E607E">
        <w:rPr>
          <w:rFonts w:ascii="Times New Roman" w:hAnsi="Times New Roman" w:cs="Times New Roman"/>
          <w:i/>
          <w:iCs/>
          <w:sz w:val="24"/>
          <w:szCs w:val="24"/>
          <w:lang w:val="en-GB"/>
        </w:rPr>
        <w:t xml:space="preserve"> </w:t>
      </w:r>
      <w:r w:rsidR="003E607E">
        <w:rPr>
          <w:rFonts w:ascii="Times New Roman" w:hAnsi="Times New Roman" w:cs="Times New Roman"/>
          <w:sz w:val="24"/>
          <w:szCs w:val="24"/>
          <w:lang w:val="en-GB"/>
        </w:rPr>
        <w:t xml:space="preserve">and output of tradables falls to </w:t>
      </w:r>
      <w:r w:rsidR="007F27A1">
        <w:rPr>
          <w:rFonts w:ascii="Times New Roman" w:hAnsi="Times New Roman" w:cs="Times New Roman"/>
          <w:i/>
          <w:iCs/>
          <w:sz w:val="24"/>
          <w:szCs w:val="24"/>
          <w:lang w:val="en-GB"/>
        </w:rPr>
        <w:t xml:space="preserve">OE. </w:t>
      </w:r>
      <w:r w:rsidR="007F27A1">
        <w:rPr>
          <w:rFonts w:ascii="Times New Roman" w:hAnsi="Times New Roman" w:cs="Times New Roman"/>
          <w:sz w:val="24"/>
          <w:szCs w:val="24"/>
          <w:lang w:val="en-GB"/>
        </w:rPr>
        <w:t>If the fall i</w:t>
      </w:r>
      <w:r w:rsidR="00592FE8">
        <w:rPr>
          <w:rFonts w:ascii="Times New Roman" w:hAnsi="Times New Roman" w:cs="Times New Roman"/>
          <w:sz w:val="24"/>
          <w:szCs w:val="24"/>
          <w:lang w:val="en-GB"/>
        </w:rPr>
        <w:t xml:space="preserve">n saving is so large </w:t>
      </w:r>
      <w:r w:rsidR="00592FE8">
        <w:rPr>
          <w:rFonts w:ascii="Times New Roman" w:hAnsi="Times New Roman" w:cs="Times New Roman"/>
          <w:sz w:val="24"/>
          <w:szCs w:val="24"/>
          <w:lang w:val="en-GB"/>
        </w:rPr>
        <w:lastRenderedPageBreak/>
        <w:t>that the</w:t>
      </w:r>
      <w:r w:rsidR="00A67749">
        <w:rPr>
          <w:rFonts w:ascii="Times New Roman" w:hAnsi="Times New Roman" w:cs="Times New Roman"/>
          <w:sz w:val="24"/>
          <w:szCs w:val="24"/>
          <w:lang w:val="en-GB"/>
        </w:rPr>
        <w:t xml:space="preserve"> trade surplus </w:t>
      </w:r>
      <w:r w:rsidR="00F62A92">
        <w:rPr>
          <w:rFonts w:ascii="Times New Roman" w:hAnsi="Times New Roman" w:cs="Times New Roman"/>
          <w:sz w:val="24"/>
          <w:szCs w:val="24"/>
          <w:lang w:val="en-GB"/>
        </w:rPr>
        <w:t xml:space="preserve">disappears, </w:t>
      </w:r>
      <w:r w:rsidR="00F62A92">
        <w:rPr>
          <w:rFonts w:ascii="Times New Roman" w:hAnsi="Times New Roman" w:cs="Times New Roman"/>
          <w:i/>
          <w:iCs/>
          <w:sz w:val="24"/>
          <w:szCs w:val="24"/>
          <w:lang w:val="en-GB"/>
        </w:rPr>
        <w:t xml:space="preserve">A’ </w:t>
      </w:r>
      <w:r w:rsidR="00F62A92">
        <w:rPr>
          <w:rFonts w:ascii="Times New Roman" w:hAnsi="Times New Roman" w:cs="Times New Roman"/>
          <w:sz w:val="24"/>
          <w:szCs w:val="24"/>
          <w:lang w:val="en-GB"/>
        </w:rPr>
        <w:t xml:space="preserve">also </w:t>
      </w:r>
      <w:r w:rsidR="00C43EB0">
        <w:rPr>
          <w:rFonts w:ascii="Times New Roman" w:hAnsi="Times New Roman" w:cs="Times New Roman"/>
          <w:sz w:val="24"/>
          <w:szCs w:val="24"/>
          <w:lang w:val="en-GB"/>
        </w:rPr>
        <w:t xml:space="preserve">shows </w:t>
      </w:r>
      <w:r w:rsidR="00C402B2">
        <w:rPr>
          <w:rFonts w:ascii="Times New Roman" w:hAnsi="Times New Roman" w:cs="Times New Roman"/>
          <w:sz w:val="24"/>
          <w:szCs w:val="24"/>
          <w:lang w:val="en-GB"/>
        </w:rPr>
        <w:t xml:space="preserve">consumption. In addition, the composition </w:t>
      </w:r>
      <w:r w:rsidR="00846701">
        <w:rPr>
          <w:rFonts w:ascii="Times New Roman" w:hAnsi="Times New Roman" w:cs="Times New Roman"/>
          <w:sz w:val="24"/>
          <w:szCs w:val="24"/>
          <w:lang w:val="en-GB"/>
        </w:rPr>
        <w:t xml:space="preserve">of consumption tilts towards </w:t>
      </w:r>
      <w:r w:rsidR="008874BB">
        <w:rPr>
          <w:rFonts w:ascii="Times New Roman" w:hAnsi="Times New Roman" w:cs="Times New Roman"/>
          <w:sz w:val="24"/>
          <w:szCs w:val="24"/>
          <w:lang w:val="en-GB"/>
        </w:rPr>
        <w:t xml:space="preserve">nontradables, as pensioners spend </w:t>
      </w:r>
      <w:r w:rsidR="004C7335">
        <w:rPr>
          <w:rFonts w:ascii="Times New Roman" w:hAnsi="Times New Roman" w:cs="Times New Roman"/>
          <w:sz w:val="24"/>
          <w:szCs w:val="24"/>
          <w:lang w:val="en-GB"/>
        </w:rPr>
        <w:t>more on them than workers</w:t>
      </w:r>
      <w:r w:rsidR="000C5E79">
        <w:rPr>
          <w:rFonts w:ascii="Times New Roman" w:hAnsi="Times New Roman" w:cs="Times New Roman"/>
          <w:sz w:val="24"/>
          <w:szCs w:val="24"/>
          <w:lang w:val="en-GB"/>
        </w:rPr>
        <w:t>.</w:t>
      </w:r>
      <w:r w:rsidR="004F3B16">
        <w:rPr>
          <w:rStyle w:val="FootnoteReference"/>
          <w:rFonts w:ascii="Times New Roman" w:hAnsi="Times New Roman" w:cs="Times New Roman"/>
          <w:sz w:val="24"/>
          <w:szCs w:val="24"/>
          <w:lang w:val="en-GB"/>
        </w:rPr>
        <w:footnoteReference w:id="38"/>
      </w:r>
      <w:r w:rsidR="000C5E79">
        <w:rPr>
          <w:rFonts w:ascii="Times New Roman" w:hAnsi="Times New Roman" w:cs="Times New Roman"/>
          <w:sz w:val="24"/>
          <w:szCs w:val="24"/>
          <w:lang w:val="en-GB"/>
        </w:rPr>
        <w:t xml:space="preserve"> This raises the price of non-tradables </w:t>
      </w:r>
      <w:r w:rsidR="007373E5">
        <w:rPr>
          <w:rFonts w:ascii="Times New Roman" w:hAnsi="Times New Roman" w:cs="Times New Roman"/>
          <w:sz w:val="24"/>
          <w:szCs w:val="24"/>
          <w:lang w:val="en-GB"/>
        </w:rPr>
        <w:t xml:space="preserve">further, steepening the price line even more. </w:t>
      </w:r>
      <w:r w:rsidR="007B28A2">
        <w:rPr>
          <w:rFonts w:ascii="Times New Roman" w:hAnsi="Times New Roman" w:cs="Times New Roman"/>
          <w:sz w:val="24"/>
          <w:szCs w:val="24"/>
          <w:lang w:val="en-GB"/>
        </w:rPr>
        <w:t xml:space="preserve">Production and consumption therefore </w:t>
      </w:r>
      <w:r w:rsidR="00EB54BB">
        <w:rPr>
          <w:rFonts w:ascii="Times New Roman" w:hAnsi="Times New Roman" w:cs="Times New Roman"/>
          <w:sz w:val="24"/>
          <w:szCs w:val="24"/>
          <w:lang w:val="en-GB"/>
        </w:rPr>
        <w:t>move</w:t>
      </w:r>
      <w:r w:rsidR="007B28A2">
        <w:rPr>
          <w:rFonts w:ascii="Times New Roman" w:hAnsi="Times New Roman" w:cs="Times New Roman"/>
          <w:sz w:val="24"/>
          <w:szCs w:val="24"/>
          <w:lang w:val="en-GB"/>
        </w:rPr>
        <w:t xml:space="preserve"> all the way</w:t>
      </w:r>
      <w:r w:rsidR="00EB54BB">
        <w:rPr>
          <w:rFonts w:ascii="Times New Roman" w:hAnsi="Times New Roman" w:cs="Times New Roman"/>
          <w:sz w:val="24"/>
          <w:szCs w:val="24"/>
          <w:lang w:val="en-GB"/>
        </w:rPr>
        <w:t xml:space="preserve"> to </w:t>
      </w:r>
      <w:r w:rsidR="00EB54BB">
        <w:rPr>
          <w:rFonts w:ascii="Times New Roman" w:hAnsi="Times New Roman" w:cs="Times New Roman"/>
          <w:i/>
          <w:iCs/>
          <w:sz w:val="24"/>
          <w:szCs w:val="24"/>
          <w:lang w:val="en-GB"/>
        </w:rPr>
        <w:t>A’’</w:t>
      </w:r>
      <w:r w:rsidR="00283B27">
        <w:rPr>
          <w:rFonts w:ascii="Times New Roman" w:hAnsi="Times New Roman" w:cs="Times New Roman"/>
          <w:sz w:val="24"/>
          <w:szCs w:val="24"/>
          <w:lang w:val="en-GB"/>
        </w:rPr>
        <w:t>.</w:t>
      </w:r>
      <w:r w:rsidR="00365884">
        <w:rPr>
          <w:rStyle w:val="FootnoteReference"/>
          <w:rFonts w:ascii="Times New Roman" w:hAnsi="Times New Roman" w:cs="Times New Roman"/>
          <w:sz w:val="24"/>
          <w:szCs w:val="24"/>
          <w:lang w:val="en-GB"/>
        </w:rPr>
        <w:footnoteReference w:id="39"/>
      </w:r>
    </w:p>
    <w:p w14:paraId="373A9B45" w14:textId="7772F590" w:rsidR="00E456FB" w:rsidRDefault="00283B27" w:rsidP="00D07C2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demographic </w:t>
      </w:r>
      <w:r w:rsidR="009C0C30">
        <w:rPr>
          <w:rFonts w:ascii="Times New Roman" w:hAnsi="Times New Roman" w:cs="Times New Roman"/>
          <w:sz w:val="24"/>
          <w:szCs w:val="24"/>
          <w:lang w:val="en-GB"/>
        </w:rPr>
        <w:t xml:space="preserve">change </w:t>
      </w:r>
      <w:r w:rsidR="00543B6D">
        <w:rPr>
          <w:rFonts w:ascii="Times New Roman" w:hAnsi="Times New Roman" w:cs="Times New Roman"/>
          <w:sz w:val="24"/>
          <w:szCs w:val="24"/>
          <w:lang w:val="en-GB"/>
        </w:rPr>
        <w:t xml:space="preserve">thus causes </w:t>
      </w:r>
      <w:r w:rsidR="00113E96">
        <w:rPr>
          <w:rFonts w:ascii="Times New Roman" w:hAnsi="Times New Roman" w:cs="Times New Roman"/>
          <w:sz w:val="24"/>
          <w:szCs w:val="24"/>
          <w:lang w:val="en-GB"/>
        </w:rPr>
        <w:t>output of</w:t>
      </w:r>
      <w:r w:rsidR="00543B6D">
        <w:rPr>
          <w:rFonts w:ascii="Times New Roman" w:hAnsi="Times New Roman" w:cs="Times New Roman"/>
          <w:sz w:val="24"/>
          <w:szCs w:val="24"/>
          <w:lang w:val="en-GB"/>
        </w:rPr>
        <w:t xml:space="preserve"> nontradables</w:t>
      </w:r>
      <w:r w:rsidR="00113E96">
        <w:rPr>
          <w:rFonts w:ascii="Times New Roman" w:hAnsi="Times New Roman" w:cs="Times New Roman"/>
          <w:sz w:val="24"/>
          <w:szCs w:val="24"/>
          <w:lang w:val="en-GB"/>
        </w:rPr>
        <w:t xml:space="preserve"> to increase at the expense of </w:t>
      </w:r>
      <w:r w:rsidR="00B65ED0">
        <w:rPr>
          <w:rFonts w:ascii="Times New Roman" w:hAnsi="Times New Roman" w:cs="Times New Roman"/>
          <w:sz w:val="24"/>
          <w:szCs w:val="24"/>
          <w:lang w:val="en-GB"/>
        </w:rPr>
        <w:t xml:space="preserve">output of tradables. The adjustment takes place because </w:t>
      </w:r>
      <w:r w:rsidR="00E118DA">
        <w:rPr>
          <w:rFonts w:ascii="Times New Roman" w:hAnsi="Times New Roman" w:cs="Times New Roman"/>
          <w:sz w:val="24"/>
          <w:szCs w:val="24"/>
          <w:lang w:val="en-GB"/>
        </w:rPr>
        <w:t xml:space="preserve">the nontradables sector bids up the wage when </w:t>
      </w:r>
      <w:r w:rsidR="002A25E6">
        <w:rPr>
          <w:rFonts w:ascii="Times New Roman" w:hAnsi="Times New Roman" w:cs="Times New Roman"/>
          <w:sz w:val="24"/>
          <w:szCs w:val="24"/>
          <w:lang w:val="en-GB"/>
        </w:rPr>
        <w:t xml:space="preserve">its </w:t>
      </w:r>
      <w:r w:rsidR="00143F91">
        <w:rPr>
          <w:rFonts w:ascii="Times New Roman" w:hAnsi="Times New Roman" w:cs="Times New Roman"/>
          <w:sz w:val="24"/>
          <w:szCs w:val="24"/>
          <w:lang w:val="en-GB"/>
        </w:rPr>
        <w:t>product</w:t>
      </w:r>
      <w:r w:rsidR="0081649E">
        <w:rPr>
          <w:rFonts w:ascii="Times New Roman" w:hAnsi="Times New Roman" w:cs="Times New Roman"/>
          <w:sz w:val="24"/>
          <w:szCs w:val="24"/>
          <w:lang w:val="en-GB"/>
        </w:rPr>
        <w:t xml:space="preserve"> price rises</w:t>
      </w:r>
      <w:r w:rsidR="007616BB">
        <w:rPr>
          <w:rFonts w:ascii="Times New Roman" w:hAnsi="Times New Roman" w:cs="Times New Roman"/>
          <w:sz w:val="24"/>
          <w:szCs w:val="24"/>
          <w:lang w:val="en-GB"/>
        </w:rPr>
        <w:t>.</w:t>
      </w:r>
      <w:r w:rsidR="00843A6D">
        <w:rPr>
          <w:rFonts w:ascii="Times New Roman" w:hAnsi="Times New Roman" w:cs="Times New Roman"/>
          <w:sz w:val="24"/>
          <w:szCs w:val="24"/>
          <w:lang w:val="en-GB"/>
        </w:rPr>
        <w:t xml:space="preserve"> </w:t>
      </w:r>
      <w:r w:rsidR="00143F91">
        <w:rPr>
          <w:rFonts w:ascii="Times New Roman" w:hAnsi="Times New Roman" w:cs="Times New Roman"/>
          <w:sz w:val="24"/>
          <w:szCs w:val="24"/>
          <w:lang w:val="en-GB"/>
        </w:rPr>
        <w:t xml:space="preserve">Hence, labour is </w:t>
      </w:r>
      <w:r w:rsidR="00F16E45">
        <w:rPr>
          <w:rFonts w:ascii="Times New Roman" w:hAnsi="Times New Roman" w:cs="Times New Roman"/>
          <w:sz w:val="24"/>
          <w:szCs w:val="24"/>
          <w:lang w:val="en-GB"/>
        </w:rPr>
        <w:t>reallocated</w:t>
      </w:r>
      <w:r w:rsidR="007616BB">
        <w:rPr>
          <w:rFonts w:ascii="Times New Roman" w:hAnsi="Times New Roman" w:cs="Times New Roman"/>
          <w:sz w:val="24"/>
          <w:szCs w:val="24"/>
          <w:lang w:val="en-GB"/>
        </w:rPr>
        <w:t xml:space="preserve"> to the nontradables sector</w:t>
      </w:r>
      <w:r w:rsidR="00D67C5C">
        <w:rPr>
          <w:rFonts w:ascii="Times New Roman" w:hAnsi="Times New Roman" w:cs="Times New Roman"/>
          <w:sz w:val="24"/>
          <w:szCs w:val="24"/>
          <w:lang w:val="en-GB"/>
        </w:rPr>
        <w:t>.</w:t>
      </w:r>
      <w:r w:rsidR="0088409A">
        <w:rPr>
          <w:rFonts w:ascii="Times New Roman" w:hAnsi="Times New Roman" w:cs="Times New Roman"/>
          <w:sz w:val="24"/>
          <w:szCs w:val="24"/>
          <w:lang w:val="en-GB"/>
        </w:rPr>
        <w:t xml:space="preserve"> This is socially efficient as </w:t>
      </w:r>
      <w:r w:rsidR="00222193">
        <w:rPr>
          <w:rFonts w:ascii="Times New Roman" w:hAnsi="Times New Roman" w:cs="Times New Roman"/>
          <w:sz w:val="24"/>
          <w:szCs w:val="24"/>
          <w:lang w:val="en-GB"/>
        </w:rPr>
        <w:t xml:space="preserve">the demographic change </w:t>
      </w:r>
      <w:r w:rsidR="00F16E45">
        <w:rPr>
          <w:rFonts w:ascii="Times New Roman" w:hAnsi="Times New Roman" w:cs="Times New Roman"/>
          <w:sz w:val="24"/>
          <w:szCs w:val="24"/>
          <w:lang w:val="en-GB"/>
        </w:rPr>
        <w:t>has increased</w:t>
      </w:r>
      <w:r w:rsidR="00222193">
        <w:rPr>
          <w:rFonts w:ascii="Times New Roman" w:hAnsi="Times New Roman" w:cs="Times New Roman"/>
          <w:sz w:val="24"/>
          <w:szCs w:val="24"/>
          <w:lang w:val="en-GB"/>
        </w:rPr>
        <w:t xml:space="preserve"> </w:t>
      </w:r>
      <w:r w:rsidR="00E456FB">
        <w:rPr>
          <w:rFonts w:ascii="Times New Roman" w:hAnsi="Times New Roman" w:cs="Times New Roman"/>
          <w:sz w:val="24"/>
          <w:szCs w:val="24"/>
          <w:lang w:val="en-GB"/>
        </w:rPr>
        <w:t>consumers’ relative evaluation of nontradables.</w:t>
      </w:r>
    </w:p>
    <w:p w14:paraId="11034629" w14:textId="31617FB5" w:rsidR="005731DD" w:rsidRDefault="00287ED8" w:rsidP="00D07C2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What happens if instead</w:t>
      </w:r>
      <w:r w:rsidR="001A1679">
        <w:rPr>
          <w:rFonts w:ascii="Times New Roman" w:hAnsi="Times New Roman" w:cs="Times New Roman"/>
          <w:sz w:val="24"/>
          <w:szCs w:val="24"/>
          <w:lang w:val="en-GB"/>
        </w:rPr>
        <w:t xml:space="preserve"> of clearing the labour market,</w:t>
      </w:r>
      <w:r>
        <w:rPr>
          <w:rFonts w:ascii="Times New Roman" w:hAnsi="Times New Roman" w:cs="Times New Roman"/>
          <w:sz w:val="24"/>
          <w:szCs w:val="24"/>
          <w:lang w:val="en-GB"/>
        </w:rPr>
        <w:t xml:space="preserve"> the wage </w:t>
      </w:r>
      <w:r w:rsidR="008D681B">
        <w:rPr>
          <w:rFonts w:ascii="Times New Roman" w:hAnsi="Times New Roman" w:cs="Times New Roman"/>
          <w:sz w:val="24"/>
          <w:szCs w:val="24"/>
          <w:lang w:val="en-GB"/>
        </w:rPr>
        <w:t xml:space="preserve">is </w:t>
      </w:r>
      <w:r w:rsidR="001943E3">
        <w:rPr>
          <w:rFonts w:ascii="Times New Roman" w:hAnsi="Times New Roman" w:cs="Times New Roman"/>
          <w:sz w:val="24"/>
          <w:szCs w:val="24"/>
          <w:lang w:val="en-GB"/>
        </w:rPr>
        <w:t xml:space="preserve">linked to </w:t>
      </w:r>
      <w:r w:rsidR="00611A08">
        <w:rPr>
          <w:rFonts w:ascii="Times New Roman" w:hAnsi="Times New Roman" w:cs="Times New Roman"/>
          <w:sz w:val="24"/>
          <w:szCs w:val="24"/>
          <w:lang w:val="en-GB"/>
        </w:rPr>
        <w:t xml:space="preserve">price of </w:t>
      </w:r>
      <w:r w:rsidR="001943E3">
        <w:rPr>
          <w:rFonts w:ascii="Times New Roman" w:hAnsi="Times New Roman" w:cs="Times New Roman"/>
          <w:sz w:val="24"/>
          <w:szCs w:val="24"/>
          <w:lang w:val="en-GB"/>
        </w:rPr>
        <w:t>tradables</w:t>
      </w:r>
      <w:r w:rsidR="00611A08">
        <w:rPr>
          <w:rFonts w:ascii="Times New Roman" w:hAnsi="Times New Roman" w:cs="Times New Roman"/>
          <w:sz w:val="24"/>
          <w:szCs w:val="24"/>
          <w:lang w:val="en-GB"/>
        </w:rPr>
        <w:t xml:space="preserve"> </w:t>
      </w:r>
      <w:r w:rsidR="001C03ED">
        <w:rPr>
          <w:rFonts w:ascii="Times New Roman" w:hAnsi="Times New Roman" w:cs="Times New Roman"/>
          <w:sz w:val="24"/>
          <w:szCs w:val="24"/>
          <w:lang w:val="en-GB"/>
        </w:rPr>
        <w:t>because o</w:t>
      </w:r>
      <w:r w:rsidR="00611A08">
        <w:rPr>
          <w:rFonts w:ascii="Times New Roman" w:hAnsi="Times New Roman" w:cs="Times New Roman"/>
          <w:sz w:val="24"/>
          <w:szCs w:val="24"/>
          <w:lang w:val="en-GB"/>
        </w:rPr>
        <w:t>f pattern setting</w:t>
      </w:r>
      <w:r w:rsidR="001A1679">
        <w:rPr>
          <w:rFonts w:ascii="Times New Roman" w:hAnsi="Times New Roman" w:cs="Times New Roman"/>
          <w:sz w:val="24"/>
          <w:szCs w:val="24"/>
          <w:lang w:val="en-GB"/>
        </w:rPr>
        <w:t xml:space="preserve"> by the tradables sector</w:t>
      </w:r>
      <w:r w:rsidR="00933A0E">
        <w:rPr>
          <w:rFonts w:ascii="Times New Roman" w:hAnsi="Times New Roman" w:cs="Times New Roman"/>
          <w:sz w:val="24"/>
          <w:szCs w:val="24"/>
          <w:lang w:val="en-GB"/>
        </w:rPr>
        <w:t xml:space="preserve">? </w:t>
      </w:r>
      <w:r w:rsidR="00725056">
        <w:rPr>
          <w:rFonts w:ascii="Times New Roman" w:hAnsi="Times New Roman" w:cs="Times New Roman"/>
          <w:sz w:val="24"/>
          <w:szCs w:val="24"/>
          <w:lang w:val="en-GB"/>
        </w:rPr>
        <w:t>Then</w:t>
      </w:r>
      <w:r w:rsidR="001A1679">
        <w:rPr>
          <w:rFonts w:ascii="Times New Roman" w:hAnsi="Times New Roman" w:cs="Times New Roman"/>
          <w:sz w:val="24"/>
          <w:szCs w:val="24"/>
          <w:lang w:val="en-GB"/>
        </w:rPr>
        <w:t>, when the (relative) price of nontradables rises (shown by the steeper price line),</w:t>
      </w:r>
      <w:r w:rsidR="00725056">
        <w:rPr>
          <w:rFonts w:ascii="Times New Roman" w:hAnsi="Times New Roman" w:cs="Times New Roman"/>
          <w:sz w:val="24"/>
          <w:szCs w:val="24"/>
          <w:lang w:val="en-GB"/>
        </w:rPr>
        <w:t xml:space="preserve"> the wage cannot</w:t>
      </w:r>
      <w:r w:rsidR="00B12969">
        <w:rPr>
          <w:rFonts w:ascii="Times New Roman" w:hAnsi="Times New Roman" w:cs="Times New Roman"/>
          <w:sz w:val="24"/>
          <w:szCs w:val="24"/>
          <w:lang w:val="en-GB"/>
        </w:rPr>
        <w:t xml:space="preserve"> </w:t>
      </w:r>
      <w:r w:rsidR="00DF0846">
        <w:rPr>
          <w:rFonts w:ascii="Times New Roman" w:hAnsi="Times New Roman" w:cs="Times New Roman"/>
          <w:sz w:val="24"/>
          <w:szCs w:val="24"/>
          <w:lang w:val="en-GB"/>
        </w:rPr>
        <w:t>respond to the increase in labour demand from the nontradables sector</w:t>
      </w:r>
      <w:r w:rsidR="00725056">
        <w:rPr>
          <w:rFonts w:ascii="Times New Roman" w:hAnsi="Times New Roman" w:cs="Times New Roman"/>
          <w:sz w:val="24"/>
          <w:szCs w:val="24"/>
          <w:lang w:val="en-GB"/>
        </w:rPr>
        <w:t xml:space="preserve">. </w:t>
      </w:r>
      <w:r w:rsidR="001242E9">
        <w:rPr>
          <w:rFonts w:ascii="Times New Roman" w:hAnsi="Times New Roman" w:cs="Times New Roman"/>
          <w:sz w:val="24"/>
          <w:szCs w:val="24"/>
          <w:lang w:val="en-GB"/>
        </w:rPr>
        <w:t xml:space="preserve">Consequently, no </w:t>
      </w:r>
      <w:r w:rsidR="001C6065">
        <w:rPr>
          <w:rFonts w:ascii="Times New Roman" w:hAnsi="Times New Roman" w:cs="Times New Roman"/>
          <w:sz w:val="24"/>
          <w:szCs w:val="24"/>
          <w:lang w:val="en-GB"/>
        </w:rPr>
        <w:t xml:space="preserve">labour </w:t>
      </w:r>
      <w:r w:rsidR="001242E9">
        <w:rPr>
          <w:rFonts w:ascii="Times New Roman" w:hAnsi="Times New Roman" w:cs="Times New Roman"/>
          <w:sz w:val="24"/>
          <w:szCs w:val="24"/>
          <w:lang w:val="en-GB"/>
        </w:rPr>
        <w:t>reallocation occurs</w:t>
      </w:r>
      <w:r w:rsidR="004C248B">
        <w:rPr>
          <w:rFonts w:ascii="Times New Roman" w:hAnsi="Times New Roman" w:cs="Times New Roman"/>
          <w:sz w:val="24"/>
          <w:szCs w:val="24"/>
          <w:lang w:val="en-GB"/>
        </w:rPr>
        <w:t xml:space="preserve">. </w:t>
      </w:r>
      <w:r w:rsidR="00C96404">
        <w:rPr>
          <w:rFonts w:ascii="Times New Roman" w:hAnsi="Times New Roman" w:cs="Times New Roman"/>
          <w:sz w:val="24"/>
          <w:szCs w:val="24"/>
          <w:lang w:val="en-GB"/>
        </w:rPr>
        <w:t xml:space="preserve">Production remains at </w:t>
      </w:r>
      <w:r w:rsidR="00C96404">
        <w:rPr>
          <w:rFonts w:ascii="Times New Roman" w:hAnsi="Times New Roman" w:cs="Times New Roman"/>
          <w:i/>
          <w:iCs/>
          <w:sz w:val="24"/>
          <w:szCs w:val="24"/>
          <w:lang w:val="en-GB"/>
        </w:rPr>
        <w:t>A</w:t>
      </w:r>
      <w:r w:rsidR="00707AEC">
        <w:rPr>
          <w:rFonts w:ascii="Times New Roman" w:hAnsi="Times New Roman" w:cs="Times New Roman"/>
          <w:i/>
          <w:iCs/>
          <w:sz w:val="24"/>
          <w:szCs w:val="24"/>
          <w:lang w:val="en-GB"/>
        </w:rPr>
        <w:t xml:space="preserve"> </w:t>
      </w:r>
      <w:r w:rsidR="00707AEC">
        <w:rPr>
          <w:rFonts w:ascii="Times New Roman" w:hAnsi="Times New Roman" w:cs="Times New Roman"/>
          <w:sz w:val="24"/>
          <w:szCs w:val="24"/>
          <w:lang w:val="en-GB"/>
        </w:rPr>
        <w:t xml:space="preserve">and there is excess demand for labour in the </w:t>
      </w:r>
      <w:r w:rsidR="000A67EB">
        <w:rPr>
          <w:rFonts w:ascii="Times New Roman" w:hAnsi="Times New Roman" w:cs="Times New Roman"/>
          <w:sz w:val="24"/>
          <w:szCs w:val="24"/>
          <w:lang w:val="en-GB"/>
        </w:rPr>
        <w:t>nontradables sector</w:t>
      </w:r>
      <w:r w:rsidR="001A1679">
        <w:rPr>
          <w:rFonts w:ascii="Times New Roman" w:hAnsi="Times New Roman" w:cs="Times New Roman"/>
          <w:sz w:val="24"/>
          <w:szCs w:val="24"/>
          <w:lang w:val="en-GB"/>
        </w:rPr>
        <w:t xml:space="preserve"> (</w:t>
      </w:r>
      <w:r w:rsidR="0002270F">
        <w:rPr>
          <w:rFonts w:ascii="Times New Roman" w:hAnsi="Times New Roman" w:cs="Times New Roman"/>
          <w:sz w:val="24"/>
          <w:szCs w:val="24"/>
          <w:lang w:val="en-GB"/>
        </w:rPr>
        <w:t>this is captured by the price line cutting the production possibility frontier instead of being a tangent to it)</w:t>
      </w:r>
      <w:r w:rsidR="001227BB">
        <w:rPr>
          <w:rFonts w:ascii="Times New Roman" w:hAnsi="Times New Roman" w:cs="Times New Roman"/>
          <w:sz w:val="24"/>
          <w:szCs w:val="24"/>
          <w:lang w:val="en-GB"/>
        </w:rPr>
        <w:t xml:space="preserve">. </w:t>
      </w:r>
      <w:r w:rsidR="007B31D2">
        <w:rPr>
          <w:rFonts w:ascii="Times New Roman" w:hAnsi="Times New Roman" w:cs="Times New Roman"/>
          <w:sz w:val="24"/>
          <w:szCs w:val="24"/>
          <w:lang w:val="en-GB"/>
        </w:rPr>
        <w:t>Pattern bargaining is then socially inefficient</w:t>
      </w:r>
      <w:r w:rsidR="001227BB">
        <w:rPr>
          <w:rFonts w:ascii="Times New Roman" w:hAnsi="Times New Roman" w:cs="Times New Roman"/>
          <w:sz w:val="24"/>
          <w:szCs w:val="24"/>
          <w:lang w:val="en-GB"/>
        </w:rPr>
        <w:t xml:space="preserve"> as the marginal value of </w:t>
      </w:r>
      <w:r w:rsidR="00A01D2B">
        <w:rPr>
          <w:rFonts w:ascii="Times New Roman" w:hAnsi="Times New Roman" w:cs="Times New Roman"/>
          <w:sz w:val="24"/>
          <w:szCs w:val="24"/>
          <w:lang w:val="en-GB"/>
        </w:rPr>
        <w:t xml:space="preserve">tradables output is smaller </w:t>
      </w:r>
      <w:r w:rsidR="0025336C">
        <w:rPr>
          <w:rFonts w:ascii="Times New Roman" w:hAnsi="Times New Roman" w:cs="Times New Roman"/>
          <w:sz w:val="24"/>
          <w:szCs w:val="24"/>
          <w:lang w:val="en-GB"/>
        </w:rPr>
        <w:t>than</w:t>
      </w:r>
      <w:r w:rsidR="00A01D2B">
        <w:rPr>
          <w:rFonts w:ascii="Times New Roman" w:hAnsi="Times New Roman" w:cs="Times New Roman"/>
          <w:sz w:val="24"/>
          <w:szCs w:val="24"/>
          <w:lang w:val="en-GB"/>
        </w:rPr>
        <w:t xml:space="preserve"> the marginal value of </w:t>
      </w:r>
      <w:r w:rsidR="005C4A31">
        <w:rPr>
          <w:rFonts w:ascii="Times New Roman" w:hAnsi="Times New Roman" w:cs="Times New Roman"/>
          <w:sz w:val="24"/>
          <w:szCs w:val="24"/>
          <w:lang w:val="en-GB"/>
        </w:rPr>
        <w:t>non-tradables output.</w:t>
      </w:r>
      <w:r w:rsidR="009D2DDF">
        <w:rPr>
          <w:rStyle w:val="FootnoteReference"/>
          <w:rFonts w:ascii="Times New Roman" w:hAnsi="Times New Roman" w:cs="Times New Roman"/>
          <w:sz w:val="24"/>
          <w:szCs w:val="24"/>
          <w:lang w:val="en-GB"/>
        </w:rPr>
        <w:footnoteReference w:id="40"/>
      </w:r>
      <w:r w:rsidR="00182CEE">
        <w:rPr>
          <w:rFonts w:ascii="Times New Roman" w:hAnsi="Times New Roman" w:cs="Times New Roman"/>
          <w:sz w:val="24"/>
          <w:szCs w:val="24"/>
          <w:lang w:val="en-GB"/>
        </w:rPr>
        <w:t xml:space="preserve"> </w:t>
      </w:r>
      <w:r w:rsidR="00332A14">
        <w:rPr>
          <w:rFonts w:ascii="Times New Roman" w:hAnsi="Times New Roman" w:cs="Times New Roman"/>
          <w:sz w:val="24"/>
          <w:szCs w:val="24"/>
          <w:lang w:val="en-GB"/>
        </w:rPr>
        <w:t xml:space="preserve">The wage leadership of the tradables sector thus prevents </w:t>
      </w:r>
      <w:r w:rsidR="00E708B1">
        <w:rPr>
          <w:rFonts w:ascii="Times New Roman" w:hAnsi="Times New Roman" w:cs="Times New Roman"/>
          <w:sz w:val="24"/>
          <w:szCs w:val="24"/>
          <w:lang w:val="en-GB"/>
        </w:rPr>
        <w:t xml:space="preserve">market forces to operate. </w:t>
      </w:r>
      <w:r w:rsidR="00AB7EA2">
        <w:rPr>
          <w:rFonts w:ascii="Times New Roman" w:hAnsi="Times New Roman" w:cs="Times New Roman"/>
          <w:sz w:val="24"/>
          <w:szCs w:val="24"/>
          <w:lang w:val="en-GB"/>
        </w:rPr>
        <w:t>This situation</w:t>
      </w:r>
      <w:r w:rsidR="001B1D73">
        <w:rPr>
          <w:rFonts w:ascii="Times New Roman" w:hAnsi="Times New Roman" w:cs="Times New Roman"/>
          <w:sz w:val="24"/>
          <w:szCs w:val="24"/>
          <w:lang w:val="en-GB"/>
        </w:rPr>
        <w:t xml:space="preserve"> </w:t>
      </w:r>
      <w:r w:rsidR="00286995">
        <w:rPr>
          <w:rFonts w:ascii="Times New Roman" w:hAnsi="Times New Roman" w:cs="Times New Roman"/>
          <w:sz w:val="24"/>
          <w:szCs w:val="24"/>
          <w:lang w:val="en-GB"/>
        </w:rPr>
        <w:t>could be</w:t>
      </w:r>
      <w:r w:rsidR="001B1D73">
        <w:rPr>
          <w:rFonts w:ascii="Times New Roman" w:hAnsi="Times New Roman" w:cs="Times New Roman"/>
          <w:sz w:val="24"/>
          <w:szCs w:val="24"/>
          <w:lang w:val="en-GB"/>
        </w:rPr>
        <w:t xml:space="preserve"> </w:t>
      </w:r>
      <w:r w:rsidR="00AB7EA2">
        <w:rPr>
          <w:rFonts w:ascii="Times New Roman" w:hAnsi="Times New Roman" w:cs="Times New Roman"/>
          <w:sz w:val="24"/>
          <w:szCs w:val="24"/>
          <w:lang w:val="en-GB"/>
        </w:rPr>
        <w:t>avoided</w:t>
      </w:r>
      <w:r w:rsidR="00CF33ED">
        <w:rPr>
          <w:rFonts w:ascii="Times New Roman" w:hAnsi="Times New Roman" w:cs="Times New Roman"/>
          <w:sz w:val="24"/>
          <w:szCs w:val="24"/>
          <w:lang w:val="en-GB"/>
        </w:rPr>
        <w:t>, i.e. the point</w:t>
      </w:r>
      <w:r w:rsidR="007F6FB7">
        <w:rPr>
          <w:rFonts w:ascii="Times New Roman" w:hAnsi="Times New Roman" w:cs="Times New Roman"/>
          <w:sz w:val="24"/>
          <w:szCs w:val="24"/>
          <w:lang w:val="en-GB"/>
        </w:rPr>
        <w:t xml:space="preserve"> </w:t>
      </w:r>
      <w:r w:rsidR="007F6FB7">
        <w:rPr>
          <w:rFonts w:ascii="Times New Roman" w:hAnsi="Times New Roman" w:cs="Times New Roman"/>
          <w:i/>
          <w:iCs/>
          <w:sz w:val="24"/>
          <w:szCs w:val="24"/>
          <w:lang w:val="en-GB"/>
        </w:rPr>
        <w:t>A’’</w:t>
      </w:r>
      <w:r w:rsidR="00CA400E" w:rsidRPr="00CA400E">
        <w:rPr>
          <w:rFonts w:ascii="Times New Roman" w:hAnsi="Times New Roman" w:cs="Times New Roman"/>
          <w:sz w:val="24"/>
          <w:szCs w:val="24"/>
          <w:lang w:val="en-GB"/>
        </w:rPr>
        <w:t xml:space="preserve"> </w:t>
      </w:r>
      <w:r w:rsidR="001B1977">
        <w:rPr>
          <w:rFonts w:ascii="Times New Roman" w:hAnsi="Times New Roman" w:cs="Times New Roman"/>
          <w:sz w:val="24"/>
          <w:szCs w:val="24"/>
          <w:lang w:val="en-GB"/>
        </w:rPr>
        <w:t>be</w:t>
      </w:r>
      <w:r w:rsidR="001B1D73">
        <w:rPr>
          <w:rFonts w:ascii="Times New Roman" w:hAnsi="Times New Roman" w:cs="Times New Roman"/>
          <w:i/>
          <w:iCs/>
          <w:sz w:val="24"/>
          <w:szCs w:val="24"/>
          <w:lang w:val="en-GB"/>
        </w:rPr>
        <w:t xml:space="preserve"> </w:t>
      </w:r>
      <w:r w:rsidR="007F6FB7">
        <w:rPr>
          <w:rFonts w:ascii="Times New Roman" w:hAnsi="Times New Roman" w:cs="Times New Roman"/>
          <w:sz w:val="24"/>
          <w:szCs w:val="24"/>
          <w:lang w:val="en-GB"/>
        </w:rPr>
        <w:t>attained,</w:t>
      </w:r>
      <w:r w:rsidR="00CF33ED">
        <w:rPr>
          <w:rFonts w:ascii="Times New Roman" w:hAnsi="Times New Roman" w:cs="Times New Roman"/>
          <w:sz w:val="24"/>
          <w:szCs w:val="24"/>
          <w:lang w:val="en-GB"/>
        </w:rPr>
        <w:t xml:space="preserve"> </w:t>
      </w:r>
      <w:r w:rsidR="00AB7EA2">
        <w:rPr>
          <w:rFonts w:ascii="Times New Roman" w:hAnsi="Times New Roman" w:cs="Times New Roman"/>
          <w:sz w:val="24"/>
          <w:szCs w:val="24"/>
          <w:lang w:val="en-GB"/>
        </w:rPr>
        <w:t xml:space="preserve">if the wage </w:t>
      </w:r>
      <w:r w:rsidR="00CA400E">
        <w:rPr>
          <w:rFonts w:ascii="Times New Roman" w:hAnsi="Times New Roman" w:cs="Times New Roman"/>
          <w:sz w:val="24"/>
          <w:szCs w:val="24"/>
          <w:lang w:val="en-GB"/>
        </w:rPr>
        <w:t>is</w:t>
      </w:r>
      <w:r w:rsidR="00350EB4">
        <w:rPr>
          <w:rFonts w:ascii="Times New Roman" w:hAnsi="Times New Roman" w:cs="Times New Roman"/>
          <w:sz w:val="24"/>
          <w:szCs w:val="24"/>
          <w:lang w:val="en-GB"/>
        </w:rPr>
        <w:t xml:space="preserve"> instead </w:t>
      </w:r>
      <w:r w:rsidR="005E296E">
        <w:rPr>
          <w:rFonts w:ascii="Times New Roman" w:hAnsi="Times New Roman" w:cs="Times New Roman"/>
          <w:sz w:val="24"/>
          <w:szCs w:val="24"/>
          <w:lang w:val="en-GB"/>
        </w:rPr>
        <w:t xml:space="preserve">linked to a price index </w:t>
      </w:r>
      <w:r w:rsidR="00472E9C">
        <w:rPr>
          <w:rFonts w:ascii="Times New Roman" w:hAnsi="Times New Roman" w:cs="Times New Roman"/>
          <w:sz w:val="24"/>
          <w:szCs w:val="24"/>
          <w:lang w:val="en-GB"/>
        </w:rPr>
        <w:t>w</w:t>
      </w:r>
      <w:r w:rsidR="00CF33ED">
        <w:rPr>
          <w:rFonts w:ascii="Times New Roman" w:hAnsi="Times New Roman" w:cs="Times New Roman"/>
          <w:sz w:val="24"/>
          <w:szCs w:val="24"/>
          <w:lang w:val="en-GB"/>
        </w:rPr>
        <w:t xml:space="preserve">ith appropriate </w:t>
      </w:r>
      <w:r w:rsidR="00302CE0">
        <w:rPr>
          <w:rFonts w:ascii="Times New Roman" w:hAnsi="Times New Roman" w:cs="Times New Roman"/>
          <w:sz w:val="24"/>
          <w:szCs w:val="24"/>
          <w:lang w:val="en-GB"/>
        </w:rPr>
        <w:t xml:space="preserve">weights </w:t>
      </w:r>
      <w:r w:rsidR="00CF33ED">
        <w:rPr>
          <w:rFonts w:ascii="Times New Roman" w:hAnsi="Times New Roman" w:cs="Times New Roman"/>
          <w:sz w:val="24"/>
          <w:szCs w:val="24"/>
          <w:lang w:val="en-GB"/>
        </w:rPr>
        <w:t xml:space="preserve">for </w:t>
      </w:r>
      <w:r w:rsidR="00302CE0">
        <w:rPr>
          <w:rFonts w:ascii="Times New Roman" w:hAnsi="Times New Roman" w:cs="Times New Roman"/>
          <w:sz w:val="24"/>
          <w:szCs w:val="24"/>
          <w:lang w:val="en-GB"/>
        </w:rPr>
        <w:t xml:space="preserve">tradables and non-tradables </w:t>
      </w:r>
      <w:r w:rsidR="005E67E1">
        <w:rPr>
          <w:rFonts w:ascii="Times New Roman" w:hAnsi="Times New Roman" w:cs="Times New Roman"/>
          <w:sz w:val="24"/>
          <w:szCs w:val="24"/>
          <w:lang w:val="en-GB"/>
        </w:rPr>
        <w:t>prices</w:t>
      </w:r>
      <w:r w:rsidR="001B1D73">
        <w:rPr>
          <w:rFonts w:ascii="Times New Roman" w:hAnsi="Times New Roman" w:cs="Times New Roman"/>
          <w:sz w:val="24"/>
          <w:szCs w:val="24"/>
          <w:lang w:val="en-GB"/>
        </w:rPr>
        <w:t>.</w:t>
      </w:r>
      <w:r w:rsidR="00693B25">
        <w:rPr>
          <w:rStyle w:val="FootnoteReference"/>
          <w:rFonts w:ascii="Times New Roman" w:hAnsi="Times New Roman" w:cs="Times New Roman"/>
          <w:sz w:val="24"/>
          <w:szCs w:val="24"/>
          <w:lang w:val="en-GB"/>
        </w:rPr>
        <w:footnoteReference w:id="41"/>
      </w:r>
      <w:r w:rsidR="00306B43">
        <w:rPr>
          <w:rFonts w:ascii="Times New Roman" w:hAnsi="Times New Roman" w:cs="Times New Roman"/>
          <w:sz w:val="24"/>
          <w:szCs w:val="24"/>
          <w:lang w:val="en-GB"/>
        </w:rPr>
        <w:t xml:space="preserve"> This</w:t>
      </w:r>
      <w:r w:rsidR="005F7B4C">
        <w:rPr>
          <w:rFonts w:ascii="Times New Roman" w:hAnsi="Times New Roman" w:cs="Times New Roman"/>
          <w:sz w:val="24"/>
          <w:szCs w:val="24"/>
          <w:lang w:val="en-GB"/>
        </w:rPr>
        <w:t xml:space="preserve"> would imply a deviation from the </w:t>
      </w:r>
      <w:r w:rsidR="00953A48">
        <w:rPr>
          <w:rFonts w:ascii="Times New Roman" w:hAnsi="Times New Roman" w:cs="Times New Roman"/>
          <w:sz w:val="24"/>
          <w:szCs w:val="24"/>
          <w:lang w:val="en-GB"/>
        </w:rPr>
        <w:t>norm-setting by the tradables sector.</w:t>
      </w:r>
    </w:p>
    <w:p w14:paraId="0308B461" w14:textId="046D06B8" w:rsidR="009E7301" w:rsidRDefault="009E0037" w:rsidP="009E003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stylised model above, labour supply (equilibrium employment) is fixed. It may be realistic to assume that in a situation with labour shortages in the nontradables sector due to the wage norm, more labour is drawn into the effective labour force. This could be because </w:t>
      </w:r>
      <w:r>
        <w:rPr>
          <w:rFonts w:ascii="Times New Roman" w:hAnsi="Times New Roman" w:cs="Times New Roman"/>
          <w:sz w:val="24"/>
          <w:szCs w:val="24"/>
          <w:lang w:val="en-GB"/>
        </w:rPr>
        <w:lastRenderedPageBreak/>
        <w:t>discouraged workers find it worthwhile to look for jobs</w:t>
      </w:r>
      <w:r w:rsidR="008E2DF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because employers in the </w:t>
      </w:r>
      <w:r w:rsidR="00D072EF">
        <w:rPr>
          <w:rFonts w:ascii="Times New Roman" w:hAnsi="Times New Roman" w:cs="Times New Roman"/>
          <w:sz w:val="24"/>
          <w:szCs w:val="24"/>
          <w:lang w:val="en-GB"/>
        </w:rPr>
        <w:t xml:space="preserve">nontradables </w:t>
      </w:r>
      <w:r>
        <w:rPr>
          <w:rFonts w:ascii="Times New Roman" w:hAnsi="Times New Roman" w:cs="Times New Roman"/>
          <w:sz w:val="24"/>
          <w:szCs w:val="24"/>
          <w:lang w:val="en-GB"/>
        </w:rPr>
        <w:t>sector lower their qualification demands</w:t>
      </w:r>
      <w:r w:rsidR="00C609EE">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provide the appropriate training of recruits</w:t>
      </w:r>
      <w:r w:rsidR="004C1D81">
        <w:rPr>
          <w:rFonts w:ascii="Times New Roman" w:hAnsi="Times New Roman" w:cs="Times New Roman"/>
          <w:sz w:val="24"/>
          <w:szCs w:val="24"/>
          <w:lang w:val="en-GB"/>
        </w:rPr>
        <w:t xml:space="preserve"> or because the government expands </w:t>
      </w:r>
      <w:r w:rsidR="00EC4F00">
        <w:rPr>
          <w:rFonts w:ascii="Times New Roman" w:hAnsi="Times New Roman" w:cs="Times New Roman"/>
          <w:sz w:val="24"/>
          <w:szCs w:val="24"/>
          <w:lang w:val="en-GB"/>
        </w:rPr>
        <w:t>regular school education</w:t>
      </w:r>
      <w:r>
        <w:rPr>
          <w:rFonts w:ascii="Times New Roman" w:hAnsi="Times New Roman" w:cs="Times New Roman"/>
          <w:sz w:val="24"/>
          <w:szCs w:val="24"/>
          <w:lang w:val="en-GB"/>
        </w:rPr>
        <w:t xml:space="preserve">. Also, immigration might increase. If so, the production possibility frontier is shifted outwards, so that production could move to a point </w:t>
      </w:r>
      <w:r>
        <w:rPr>
          <w:rFonts w:ascii="Times New Roman" w:hAnsi="Times New Roman" w:cs="Times New Roman"/>
          <w:i/>
          <w:iCs/>
          <w:sz w:val="24"/>
          <w:szCs w:val="24"/>
          <w:lang w:val="en-GB"/>
        </w:rPr>
        <w:t>A’’’.</w:t>
      </w:r>
      <w:r>
        <w:rPr>
          <w:rFonts w:ascii="Times New Roman" w:hAnsi="Times New Roman" w:cs="Times New Roman"/>
          <w:sz w:val="24"/>
          <w:szCs w:val="24"/>
          <w:lang w:val="en-GB"/>
        </w:rPr>
        <w:t xml:space="preserve"> This points to </w:t>
      </w:r>
      <w:r w:rsidR="006C5954">
        <w:rPr>
          <w:rFonts w:ascii="Times New Roman" w:hAnsi="Times New Roman" w:cs="Times New Roman"/>
          <w:sz w:val="24"/>
          <w:szCs w:val="24"/>
          <w:lang w:val="en-GB"/>
        </w:rPr>
        <w:t>a possible confli</w:t>
      </w:r>
      <w:r w:rsidR="0001736A">
        <w:rPr>
          <w:rFonts w:ascii="Times New Roman" w:hAnsi="Times New Roman" w:cs="Times New Roman"/>
          <w:sz w:val="24"/>
          <w:szCs w:val="24"/>
          <w:lang w:val="en-GB"/>
        </w:rPr>
        <w:t xml:space="preserve">ct between goals of </w:t>
      </w:r>
      <w:r w:rsidR="00FD287A">
        <w:rPr>
          <w:rFonts w:ascii="Times New Roman" w:hAnsi="Times New Roman" w:cs="Times New Roman"/>
          <w:sz w:val="24"/>
          <w:szCs w:val="24"/>
          <w:lang w:val="en-GB"/>
        </w:rPr>
        <w:t xml:space="preserve">high </w:t>
      </w:r>
      <w:r w:rsidR="003210F6">
        <w:rPr>
          <w:rFonts w:ascii="Times New Roman" w:hAnsi="Times New Roman" w:cs="Times New Roman"/>
          <w:sz w:val="24"/>
          <w:szCs w:val="24"/>
          <w:lang w:val="en-GB"/>
        </w:rPr>
        <w:t>output (employment)</w:t>
      </w:r>
      <w:r w:rsidR="00FD287A">
        <w:rPr>
          <w:rFonts w:ascii="Times New Roman" w:hAnsi="Times New Roman" w:cs="Times New Roman"/>
          <w:sz w:val="24"/>
          <w:szCs w:val="24"/>
          <w:lang w:val="en-GB"/>
        </w:rPr>
        <w:t xml:space="preserve"> </w:t>
      </w:r>
      <w:r w:rsidR="00F81CC9">
        <w:rPr>
          <w:rFonts w:ascii="Times New Roman" w:hAnsi="Times New Roman" w:cs="Times New Roman"/>
          <w:sz w:val="24"/>
          <w:szCs w:val="24"/>
          <w:lang w:val="en-GB"/>
        </w:rPr>
        <w:t>and efficient</w:t>
      </w:r>
      <w:r w:rsidR="003210F6">
        <w:rPr>
          <w:rFonts w:ascii="Times New Roman" w:hAnsi="Times New Roman" w:cs="Times New Roman"/>
          <w:sz w:val="24"/>
          <w:szCs w:val="24"/>
          <w:lang w:val="en-GB"/>
        </w:rPr>
        <w:t xml:space="preserve"> sectoral</w:t>
      </w:r>
      <w:r w:rsidR="00F81CC9">
        <w:rPr>
          <w:rFonts w:ascii="Times New Roman" w:hAnsi="Times New Roman" w:cs="Times New Roman"/>
          <w:sz w:val="24"/>
          <w:szCs w:val="24"/>
          <w:lang w:val="en-GB"/>
        </w:rPr>
        <w:t xml:space="preserve"> all</w:t>
      </w:r>
      <w:r w:rsidR="00222C58">
        <w:rPr>
          <w:rFonts w:ascii="Times New Roman" w:hAnsi="Times New Roman" w:cs="Times New Roman"/>
          <w:sz w:val="24"/>
          <w:szCs w:val="24"/>
          <w:lang w:val="en-GB"/>
        </w:rPr>
        <w:t>ocation of labour.</w:t>
      </w:r>
    </w:p>
    <w:p w14:paraId="632A220F" w14:textId="77777777" w:rsidR="0002270F" w:rsidRDefault="0061262C" w:rsidP="009E003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Since my analysis has treated </w:t>
      </w:r>
      <w:r w:rsidR="00245D2D">
        <w:rPr>
          <w:rFonts w:ascii="Times New Roman" w:hAnsi="Times New Roman" w:cs="Times New Roman"/>
          <w:sz w:val="24"/>
          <w:szCs w:val="24"/>
          <w:lang w:val="en-GB"/>
        </w:rPr>
        <w:t>labour as homogenous</w:t>
      </w:r>
      <w:r w:rsidR="00D01069">
        <w:rPr>
          <w:rFonts w:ascii="Times New Roman" w:hAnsi="Times New Roman" w:cs="Times New Roman"/>
          <w:sz w:val="24"/>
          <w:szCs w:val="24"/>
          <w:lang w:val="en-GB"/>
        </w:rPr>
        <w:t xml:space="preserve">, labour reallocation does not require </w:t>
      </w:r>
      <w:r w:rsidR="00257BBD">
        <w:rPr>
          <w:rFonts w:ascii="Times New Roman" w:hAnsi="Times New Roman" w:cs="Times New Roman"/>
          <w:sz w:val="24"/>
          <w:szCs w:val="24"/>
          <w:lang w:val="en-GB"/>
        </w:rPr>
        <w:t>relative-wage changes</w:t>
      </w:r>
      <w:r w:rsidR="00943F9E">
        <w:rPr>
          <w:rFonts w:ascii="Times New Roman" w:hAnsi="Times New Roman" w:cs="Times New Roman"/>
          <w:sz w:val="24"/>
          <w:szCs w:val="24"/>
          <w:lang w:val="en-GB"/>
        </w:rPr>
        <w:t xml:space="preserve">. This </w:t>
      </w:r>
      <w:r w:rsidR="0002270F">
        <w:rPr>
          <w:rFonts w:ascii="Times New Roman" w:hAnsi="Times New Roman" w:cs="Times New Roman"/>
          <w:sz w:val="24"/>
          <w:szCs w:val="24"/>
          <w:lang w:val="en-GB"/>
        </w:rPr>
        <w:t>is</w:t>
      </w:r>
      <w:r w:rsidR="00F61703">
        <w:rPr>
          <w:rFonts w:ascii="Times New Roman" w:hAnsi="Times New Roman" w:cs="Times New Roman"/>
          <w:sz w:val="24"/>
          <w:szCs w:val="24"/>
          <w:lang w:val="en-GB"/>
        </w:rPr>
        <w:t xml:space="preserve"> </w:t>
      </w:r>
      <w:r w:rsidR="009878F8">
        <w:rPr>
          <w:rFonts w:ascii="Times New Roman" w:hAnsi="Times New Roman" w:cs="Times New Roman"/>
          <w:sz w:val="24"/>
          <w:szCs w:val="24"/>
          <w:lang w:val="en-GB"/>
        </w:rPr>
        <w:t xml:space="preserve">a </w:t>
      </w:r>
      <w:r w:rsidR="00F61703">
        <w:rPr>
          <w:rFonts w:ascii="Times New Roman" w:hAnsi="Times New Roman" w:cs="Times New Roman"/>
          <w:sz w:val="24"/>
          <w:szCs w:val="24"/>
          <w:lang w:val="en-GB"/>
        </w:rPr>
        <w:t>more</w:t>
      </w:r>
      <w:r w:rsidR="00DE28E9">
        <w:rPr>
          <w:rFonts w:ascii="Times New Roman" w:hAnsi="Times New Roman" w:cs="Times New Roman"/>
          <w:sz w:val="24"/>
          <w:szCs w:val="24"/>
          <w:lang w:val="en-GB"/>
        </w:rPr>
        <w:t xml:space="preserve"> </w:t>
      </w:r>
      <w:r w:rsidR="00F61703">
        <w:rPr>
          <w:rFonts w:ascii="Times New Roman" w:hAnsi="Times New Roman" w:cs="Times New Roman"/>
          <w:sz w:val="24"/>
          <w:szCs w:val="24"/>
          <w:lang w:val="en-GB"/>
        </w:rPr>
        <w:t xml:space="preserve">reasonable </w:t>
      </w:r>
      <w:r w:rsidR="009878F8">
        <w:rPr>
          <w:rFonts w:ascii="Times New Roman" w:hAnsi="Times New Roman" w:cs="Times New Roman"/>
          <w:sz w:val="24"/>
          <w:szCs w:val="24"/>
          <w:lang w:val="en-GB"/>
        </w:rPr>
        <w:t>assumption</w:t>
      </w:r>
      <w:r w:rsidR="00F61703">
        <w:rPr>
          <w:rFonts w:ascii="Times New Roman" w:hAnsi="Times New Roman" w:cs="Times New Roman"/>
          <w:sz w:val="24"/>
          <w:szCs w:val="24"/>
          <w:lang w:val="en-GB"/>
        </w:rPr>
        <w:t xml:space="preserve"> in the long </w:t>
      </w:r>
      <w:r w:rsidR="0093164B">
        <w:rPr>
          <w:rFonts w:ascii="Times New Roman" w:hAnsi="Times New Roman" w:cs="Times New Roman"/>
          <w:sz w:val="24"/>
          <w:szCs w:val="24"/>
          <w:lang w:val="en-GB"/>
        </w:rPr>
        <w:t>run</w:t>
      </w:r>
      <w:r w:rsidR="00776ABC">
        <w:rPr>
          <w:rFonts w:ascii="Times New Roman" w:hAnsi="Times New Roman" w:cs="Times New Roman"/>
          <w:sz w:val="24"/>
          <w:szCs w:val="24"/>
          <w:lang w:val="en-GB"/>
        </w:rPr>
        <w:t xml:space="preserve"> when labour market entrants </w:t>
      </w:r>
      <w:r w:rsidR="00157E03">
        <w:rPr>
          <w:rFonts w:ascii="Times New Roman" w:hAnsi="Times New Roman" w:cs="Times New Roman"/>
          <w:sz w:val="24"/>
          <w:szCs w:val="24"/>
          <w:lang w:val="en-GB"/>
        </w:rPr>
        <w:t>can choose their education</w:t>
      </w:r>
      <w:r w:rsidR="0093164B">
        <w:rPr>
          <w:rFonts w:ascii="Times New Roman" w:hAnsi="Times New Roman" w:cs="Times New Roman"/>
          <w:sz w:val="24"/>
          <w:szCs w:val="24"/>
          <w:lang w:val="en-GB"/>
        </w:rPr>
        <w:t xml:space="preserve"> than in the short run</w:t>
      </w:r>
      <w:r w:rsidR="00815684">
        <w:rPr>
          <w:rFonts w:ascii="Times New Roman" w:hAnsi="Times New Roman" w:cs="Times New Roman"/>
          <w:sz w:val="24"/>
          <w:szCs w:val="24"/>
          <w:lang w:val="en-GB"/>
        </w:rPr>
        <w:t xml:space="preserve"> </w:t>
      </w:r>
      <w:r w:rsidR="004968D3">
        <w:rPr>
          <w:rFonts w:ascii="Times New Roman" w:hAnsi="Times New Roman" w:cs="Times New Roman"/>
          <w:sz w:val="24"/>
          <w:szCs w:val="24"/>
          <w:lang w:val="en-GB"/>
        </w:rPr>
        <w:t>when already employed workers with</w:t>
      </w:r>
      <w:r w:rsidR="00BA4D81">
        <w:rPr>
          <w:rFonts w:ascii="Times New Roman" w:hAnsi="Times New Roman" w:cs="Times New Roman"/>
          <w:sz w:val="24"/>
          <w:szCs w:val="24"/>
          <w:lang w:val="en-GB"/>
        </w:rPr>
        <w:t xml:space="preserve"> given education and</w:t>
      </w:r>
      <w:r w:rsidR="00AB3649">
        <w:rPr>
          <w:rFonts w:ascii="Times New Roman" w:hAnsi="Times New Roman" w:cs="Times New Roman"/>
          <w:sz w:val="24"/>
          <w:szCs w:val="24"/>
          <w:lang w:val="en-GB"/>
        </w:rPr>
        <w:t xml:space="preserve"> experience would have to mo</w:t>
      </w:r>
      <w:r w:rsidR="006F4746">
        <w:rPr>
          <w:rFonts w:ascii="Times New Roman" w:hAnsi="Times New Roman" w:cs="Times New Roman"/>
          <w:sz w:val="24"/>
          <w:szCs w:val="24"/>
          <w:lang w:val="en-GB"/>
        </w:rPr>
        <w:t>ve</w:t>
      </w:r>
      <w:r w:rsidR="00157E03">
        <w:rPr>
          <w:rFonts w:ascii="Times New Roman" w:hAnsi="Times New Roman" w:cs="Times New Roman"/>
          <w:sz w:val="24"/>
          <w:szCs w:val="24"/>
          <w:lang w:val="en-GB"/>
        </w:rPr>
        <w:t>.</w:t>
      </w:r>
      <w:r w:rsidR="00D01557">
        <w:rPr>
          <w:rStyle w:val="FootnoteReference"/>
          <w:rFonts w:ascii="Times New Roman" w:hAnsi="Times New Roman" w:cs="Times New Roman"/>
          <w:sz w:val="24"/>
          <w:szCs w:val="24"/>
          <w:lang w:val="en-GB"/>
        </w:rPr>
        <w:footnoteReference w:id="42"/>
      </w:r>
      <w:r w:rsidR="0002270F">
        <w:rPr>
          <w:rFonts w:ascii="Times New Roman" w:hAnsi="Times New Roman" w:cs="Times New Roman"/>
          <w:sz w:val="24"/>
          <w:szCs w:val="24"/>
          <w:lang w:val="en-GB"/>
        </w:rPr>
        <w:t xml:space="preserve"> In the short run, a relative-wage increase for workers in the nontradables sector may thus be necessary in order to reallocate labour to the sector.</w:t>
      </w:r>
      <w:r w:rsidR="00157E03">
        <w:rPr>
          <w:rFonts w:ascii="Times New Roman" w:hAnsi="Times New Roman" w:cs="Times New Roman"/>
          <w:sz w:val="24"/>
          <w:szCs w:val="24"/>
          <w:lang w:val="en-GB"/>
        </w:rPr>
        <w:t xml:space="preserve"> </w:t>
      </w:r>
      <w:r w:rsidR="0002270F">
        <w:rPr>
          <w:rFonts w:ascii="Times New Roman" w:hAnsi="Times New Roman" w:cs="Times New Roman"/>
          <w:sz w:val="24"/>
          <w:szCs w:val="24"/>
          <w:lang w:val="en-GB"/>
        </w:rPr>
        <w:t>Hence</w:t>
      </w:r>
      <w:r w:rsidR="00157E03">
        <w:rPr>
          <w:rFonts w:ascii="Times New Roman" w:hAnsi="Times New Roman" w:cs="Times New Roman"/>
          <w:sz w:val="24"/>
          <w:szCs w:val="24"/>
          <w:lang w:val="en-GB"/>
        </w:rPr>
        <w:t xml:space="preserve">, </w:t>
      </w:r>
      <w:r w:rsidR="00486BAE">
        <w:rPr>
          <w:rFonts w:ascii="Times New Roman" w:hAnsi="Times New Roman" w:cs="Times New Roman"/>
          <w:sz w:val="24"/>
          <w:szCs w:val="24"/>
          <w:lang w:val="en-GB"/>
        </w:rPr>
        <w:t>if</w:t>
      </w:r>
      <w:r w:rsidR="00F008E2">
        <w:rPr>
          <w:rFonts w:ascii="Times New Roman" w:hAnsi="Times New Roman" w:cs="Times New Roman"/>
          <w:sz w:val="24"/>
          <w:szCs w:val="24"/>
          <w:lang w:val="en-GB"/>
        </w:rPr>
        <w:t xml:space="preserve"> wage leadership by the tradables sector </w:t>
      </w:r>
      <w:r w:rsidR="00486BAE">
        <w:rPr>
          <w:rFonts w:ascii="Times New Roman" w:hAnsi="Times New Roman" w:cs="Times New Roman"/>
          <w:sz w:val="24"/>
          <w:szCs w:val="24"/>
          <w:lang w:val="en-GB"/>
        </w:rPr>
        <w:t xml:space="preserve">rules out relative-wage changes, this may serve as a further impediment to </w:t>
      </w:r>
      <w:r w:rsidR="005B645F">
        <w:rPr>
          <w:rFonts w:ascii="Times New Roman" w:hAnsi="Times New Roman" w:cs="Times New Roman"/>
          <w:sz w:val="24"/>
          <w:szCs w:val="24"/>
          <w:lang w:val="en-GB"/>
        </w:rPr>
        <w:t>efficient labour allocation.</w:t>
      </w:r>
      <w:r w:rsidR="004968D3">
        <w:rPr>
          <w:rFonts w:ascii="Times New Roman" w:hAnsi="Times New Roman" w:cs="Times New Roman"/>
          <w:sz w:val="24"/>
          <w:szCs w:val="24"/>
          <w:lang w:val="en-GB"/>
        </w:rPr>
        <w:t xml:space="preserve"> </w:t>
      </w:r>
    </w:p>
    <w:p w14:paraId="67CB2F5A" w14:textId="77777777" w:rsidR="00D9552E" w:rsidRDefault="0002270F" w:rsidP="0002270F">
      <w:pPr>
        <w:pStyle w:val="Heading1"/>
        <w:rPr>
          <w:lang w:val="en-GB"/>
        </w:rPr>
      </w:pPr>
      <w:r>
        <w:rPr>
          <w:lang w:val="en-GB"/>
        </w:rPr>
        <w:t>7 Conclusions and suggestions</w:t>
      </w:r>
    </w:p>
    <w:p w14:paraId="0A0DE881" w14:textId="3D0D9150" w:rsidR="001C6AAA" w:rsidRDefault="00765B1D" w:rsidP="0018301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w:t>
      </w:r>
      <w:r w:rsidR="00DC7F24">
        <w:rPr>
          <w:rFonts w:ascii="Times New Roman" w:hAnsi="Times New Roman" w:cs="Times New Roman"/>
          <w:sz w:val="24"/>
          <w:szCs w:val="24"/>
          <w:lang w:val="en-GB"/>
        </w:rPr>
        <w:t xml:space="preserve">ttern bargaining, with </w:t>
      </w:r>
      <w:r w:rsidR="00287E08">
        <w:rPr>
          <w:rFonts w:ascii="Times New Roman" w:hAnsi="Times New Roman" w:cs="Times New Roman"/>
          <w:sz w:val="24"/>
          <w:szCs w:val="24"/>
          <w:lang w:val="en-GB"/>
        </w:rPr>
        <w:t>manufacturing as a representative of the tradables secto</w:t>
      </w:r>
      <w:r w:rsidR="00183015">
        <w:rPr>
          <w:rFonts w:ascii="Times New Roman" w:hAnsi="Times New Roman" w:cs="Times New Roman"/>
          <w:sz w:val="24"/>
          <w:szCs w:val="24"/>
          <w:lang w:val="en-GB"/>
        </w:rPr>
        <w:t xml:space="preserve">r deciding a norm for wage increases </w:t>
      </w:r>
      <w:r w:rsidR="00A2496F">
        <w:rPr>
          <w:rFonts w:ascii="Times New Roman" w:hAnsi="Times New Roman" w:cs="Times New Roman"/>
          <w:sz w:val="24"/>
          <w:szCs w:val="24"/>
          <w:lang w:val="en-GB"/>
        </w:rPr>
        <w:t xml:space="preserve">also in the rest of the economy, </w:t>
      </w:r>
      <w:r w:rsidR="003623C9">
        <w:rPr>
          <w:rFonts w:ascii="Times New Roman" w:hAnsi="Times New Roman" w:cs="Times New Roman"/>
          <w:sz w:val="24"/>
          <w:szCs w:val="24"/>
          <w:lang w:val="en-GB"/>
        </w:rPr>
        <w:t>is</w:t>
      </w:r>
      <w:r w:rsidR="00B552CA">
        <w:rPr>
          <w:rFonts w:ascii="Times New Roman" w:hAnsi="Times New Roman" w:cs="Times New Roman"/>
          <w:sz w:val="24"/>
          <w:szCs w:val="24"/>
          <w:lang w:val="en-GB"/>
        </w:rPr>
        <w:t xml:space="preserve"> </w:t>
      </w:r>
      <w:r w:rsidR="00A2496F">
        <w:rPr>
          <w:rFonts w:ascii="Times New Roman" w:hAnsi="Times New Roman" w:cs="Times New Roman"/>
          <w:sz w:val="24"/>
          <w:szCs w:val="24"/>
          <w:lang w:val="en-GB"/>
        </w:rPr>
        <w:t xml:space="preserve">the dominant form of </w:t>
      </w:r>
      <w:r w:rsidR="004E1D56">
        <w:rPr>
          <w:rFonts w:ascii="Times New Roman" w:hAnsi="Times New Roman" w:cs="Times New Roman"/>
          <w:sz w:val="24"/>
          <w:szCs w:val="24"/>
          <w:lang w:val="en-GB"/>
        </w:rPr>
        <w:t xml:space="preserve">wage bargaining in Denmark, Norway and Sweden since </w:t>
      </w:r>
      <w:r w:rsidR="003213AC">
        <w:rPr>
          <w:rFonts w:ascii="Times New Roman" w:hAnsi="Times New Roman" w:cs="Times New Roman"/>
          <w:sz w:val="24"/>
          <w:szCs w:val="24"/>
          <w:lang w:val="en-GB"/>
        </w:rPr>
        <w:t xml:space="preserve">the end of the 1990s. </w:t>
      </w:r>
      <w:r w:rsidR="00235EB9">
        <w:rPr>
          <w:rFonts w:ascii="Times New Roman" w:hAnsi="Times New Roman" w:cs="Times New Roman"/>
          <w:sz w:val="24"/>
          <w:szCs w:val="24"/>
          <w:lang w:val="en-GB"/>
        </w:rPr>
        <w:t>At the same time, a process of organised decentralisation</w:t>
      </w:r>
      <w:r w:rsidR="00C24854">
        <w:rPr>
          <w:rFonts w:ascii="Times New Roman" w:hAnsi="Times New Roman" w:cs="Times New Roman"/>
          <w:sz w:val="24"/>
          <w:szCs w:val="24"/>
          <w:lang w:val="en-GB"/>
        </w:rPr>
        <w:t xml:space="preserve"> involving a larger role for local bargaining has taken place. </w:t>
      </w:r>
      <w:r w:rsidR="00F27C3C">
        <w:rPr>
          <w:rFonts w:ascii="Times New Roman" w:hAnsi="Times New Roman" w:cs="Times New Roman"/>
          <w:sz w:val="24"/>
          <w:szCs w:val="24"/>
          <w:lang w:val="en-GB"/>
        </w:rPr>
        <w:t>Changes</w:t>
      </w:r>
      <w:r w:rsidR="001B1B31">
        <w:rPr>
          <w:rFonts w:ascii="Times New Roman" w:hAnsi="Times New Roman" w:cs="Times New Roman"/>
          <w:sz w:val="24"/>
          <w:szCs w:val="24"/>
          <w:lang w:val="en-GB"/>
        </w:rPr>
        <w:t xml:space="preserve"> have come later to Finland, although </w:t>
      </w:r>
      <w:r w:rsidR="009B56D1">
        <w:rPr>
          <w:rFonts w:ascii="Times New Roman" w:hAnsi="Times New Roman" w:cs="Times New Roman"/>
          <w:sz w:val="24"/>
          <w:szCs w:val="24"/>
          <w:lang w:val="en-GB"/>
        </w:rPr>
        <w:t>moves in the direction of similar pattern bargaining a</w:t>
      </w:r>
      <w:r w:rsidR="00F071EC">
        <w:rPr>
          <w:rFonts w:ascii="Times New Roman" w:hAnsi="Times New Roman" w:cs="Times New Roman"/>
          <w:sz w:val="24"/>
          <w:szCs w:val="24"/>
          <w:lang w:val="en-GB"/>
        </w:rPr>
        <w:t xml:space="preserve">nd more importance for </w:t>
      </w:r>
      <w:r w:rsidR="00B70FED">
        <w:rPr>
          <w:rFonts w:ascii="Times New Roman" w:hAnsi="Times New Roman" w:cs="Times New Roman"/>
          <w:sz w:val="24"/>
          <w:szCs w:val="24"/>
          <w:lang w:val="en-GB"/>
        </w:rPr>
        <w:t>the local level</w:t>
      </w:r>
      <w:r w:rsidR="009B56D1">
        <w:rPr>
          <w:rFonts w:ascii="Times New Roman" w:hAnsi="Times New Roman" w:cs="Times New Roman"/>
          <w:sz w:val="24"/>
          <w:szCs w:val="24"/>
          <w:lang w:val="en-GB"/>
        </w:rPr>
        <w:t xml:space="preserve"> see</w:t>
      </w:r>
      <w:r w:rsidR="001C6AAA">
        <w:rPr>
          <w:rFonts w:ascii="Times New Roman" w:hAnsi="Times New Roman" w:cs="Times New Roman"/>
          <w:sz w:val="24"/>
          <w:szCs w:val="24"/>
          <w:lang w:val="en-GB"/>
        </w:rPr>
        <w:t>m now to be under way.</w:t>
      </w:r>
    </w:p>
    <w:p w14:paraId="686148D2" w14:textId="71F08D35" w:rsidR="00511B83" w:rsidRDefault="00DF48C8" w:rsidP="0018301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pattern setting </w:t>
      </w:r>
      <w:r w:rsidR="0009171B">
        <w:rPr>
          <w:rFonts w:ascii="Times New Roman" w:hAnsi="Times New Roman" w:cs="Times New Roman"/>
          <w:sz w:val="24"/>
          <w:szCs w:val="24"/>
          <w:lang w:val="en-GB"/>
        </w:rPr>
        <w:t>by the manufacturing sector has been guided by international competitiveness concerns</w:t>
      </w:r>
      <w:r w:rsidR="008C7100">
        <w:rPr>
          <w:rFonts w:ascii="Times New Roman" w:hAnsi="Times New Roman" w:cs="Times New Roman"/>
          <w:sz w:val="24"/>
          <w:szCs w:val="24"/>
          <w:lang w:val="en-GB"/>
        </w:rPr>
        <w:t>. Especially in Norway and Sweden, they have been embodied in the Scandinavian model of wage formation</w:t>
      </w:r>
      <w:r w:rsidR="00404446">
        <w:rPr>
          <w:rFonts w:ascii="Times New Roman" w:hAnsi="Times New Roman" w:cs="Times New Roman"/>
          <w:sz w:val="24"/>
          <w:szCs w:val="24"/>
          <w:lang w:val="en-GB"/>
        </w:rPr>
        <w:t xml:space="preserve">, according to which wage increases should </w:t>
      </w:r>
      <w:r w:rsidR="00E802B0">
        <w:rPr>
          <w:rFonts w:ascii="Times New Roman" w:hAnsi="Times New Roman" w:cs="Times New Roman"/>
          <w:sz w:val="24"/>
          <w:szCs w:val="24"/>
          <w:lang w:val="en-GB"/>
        </w:rPr>
        <w:t xml:space="preserve">follow a main course given by the sum of price </w:t>
      </w:r>
      <w:r w:rsidR="00B637BC">
        <w:rPr>
          <w:rFonts w:ascii="Times New Roman" w:hAnsi="Times New Roman" w:cs="Times New Roman"/>
          <w:sz w:val="24"/>
          <w:szCs w:val="24"/>
          <w:lang w:val="en-GB"/>
        </w:rPr>
        <w:t>and productivity increases in the tradables sector</w:t>
      </w:r>
      <w:r w:rsidR="00B91B84">
        <w:rPr>
          <w:rFonts w:ascii="Times New Roman" w:hAnsi="Times New Roman" w:cs="Times New Roman"/>
          <w:sz w:val="24"/>
          <w:szCs w:val="24"/>
          <w:lang w:val="en-GB"/>
        </w:rPr>
        <w:t xml:space="preserve">- the </w:t>
      </w:r>
      <w:r w:rsidR="00B91B84" w:rsidRPr="00B91B84">
        <w:rPr>
          <w:rFonts w:ascii="Times New Roman" w:hAnsi="Times New Roman" w:cs="Times New Roman"/>
          <w:i/>
          <w:iCs/>
          <w:sz w:val="24"/>
          <w:szCs w:val="24"/>
          <w:lang w:val="en-GB"/>
        </w:rPr>
        <w:t>scope</w:t>
      </w:r>
      <w:r w:rsidR="00B91B84">
        <w:rPr>
          <w:rFonts w:ascii="Times New Roman" w:hAnsi="Times New Roman" w:cs="Times New Roman"/>
          <w:sz w:val="24"/>
          <w:szCs w:val="24"/>
          <w:lang w:val="en-GB"/>
        </w:rPr>
        <w:t xml:space="preserve"> for wage increases.</w:t>
      </w:r>
      <w:r w:rsidR="002F7C7F">
        <w:rPr>
          <w:rFonts w:ascii="Times New Roman" w:hAnsi="Times New Roman" w:cs="Times New Roman"/>
          <w:sz w:val="24"/>
          <w:szCs w:val="24"/>
          <w:lang w:val="en-GB"/>
        </w:rPr>
        <w:t xml:space="preserve"> Although developed for a </w:t>
      </w:r>
      <w:r w:rsidR="00A34405">
        <w:rPr>
          <w:rFonts w:ascii="Times New Roman" w:hAnsi="Times New Roman" w:cs="Times New Roman"/>
          <w:sz w:val="24"/>
          <w:szCs w:val="24"/>
          <w:lang w:val="en-GB"/>
        </w:rPr>
        <w:t xml:space="preserve">situation </w:t>
      </w:r>
      <w:r w:rsidR="0043308A">
        <w:rPr>
          <w:rFonts w:ascii="Times New Roman" w:hAnsi="Times New Roman" w:cs="Times New Roman"/>
          <w:sz w:val="24"/>
          <w:szCs w:val="24"/>
          <w:lang w:val="en-GB"/>
        </w:rPr>
        <w:t>with fixed exchange rates, the Scandinavian model has con</w:t>
      </w:r>
      <w:r w:rsidR="00723CC1">
        <w:rPr>
          <w:rFonts w:ascii="Times New Roman" w:hAnsi="Times New Roman" w:cs="Times New Roman"/>
          <w:sz w:val="24"/>
          <w:szCs w:val="24"/>
          <w:lang w:val="en-GB"/>
        </w:rPr>
        <w:t xml:space="preserve">tinued to be a benchmark also </w:t>
      </w:r>
      <w:r w:rsidR="00F804AD">
        <w:rPr>
          <w:rFonts w:ascii="Times New Roman" w:hAnsi="Times New Roman" w:cs="Times New Roman"/>
          <w:sz w:val="24"/>
          <w:szCs w:val="24"/>
          <w:lang w:val="en-GB"/>
        </w:rPr>
        <w:t xml:space="preserve">in the more challenging environment with flexible exchange rates </w:t>
      </w:r>
      <w:r w:rsidR="007318E9">
        <w:rPr>
          <w:rFonts w:ascii="Times New Roman" w:hAnsi="Times New Roman" w:cs="Times New Roman"/>
          <w:sz w:val="24"/>
          <w:szCs w:val="24"/>
          <w:lang w:val="en-GB"/>
        </w:rPr>
        <w:t xml:space="preserve">in Norway and Sweden, which makes it more difficult to predict </w:t>
      </w:r>
      <w:r w:rsidR="00511B83">
        <w:rPr>
          <w:rFonts w:ascii="Times New Roman" w:hAnsi="Times New Roman" w:cs="Times New Roman"/>
          <w:sz w:val="24"/>
          <w:szCs w:val="24"/>
          <w:lang w:val="en-GB"/>
        </w:rPr>
        <w:t>price developments for tradables.</w:t>
      </w:r>
    </w:p>
    <w:p w14:paraId="5843137D" w14:textId="5C7E84E6" w:rsidR="00543BAE" w:rsidRDefault="00C97F39" w:rsidP="0018301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Wage developments </w:t>
      </w:r>
      <w:r w:rsidR="00461F4E">
        <w:rPr>
          <w:rFonts w:ascii="Times New Roman" w:hAnsi="Times New Roman" w:cs="Times New Roman"/>
          <w:sz w:val="24"/>
          <w:szCs w:val="24"/>
          <w:lang w:val="en-GB"/>
        </w:rPr>
        <w:t>from the early 2000s</w:t>
      </w:r>
      <w:r>
        <w:rPr>
          <w:rFonts w:ascii="Times New Roman" w:hAnsi="Times New Roman" w:cs="Times New Roman"/>
          <w:sz w:val="24"/>
          <w:szCs w:val="24"/>
          <w:lang w:val="en-GB"/>
        </w:rPr>
        <w:t xml:space="preserve"> have </w:t>
      </w:r>
      <w:r w:rsidR="006C2BAD">
        <w:rPr>
          <w:rFonts w:ascii="Times New Roman" w:hAnsi="Times New Roman" w:cs="Times New Roman"/>
          <w:sz w:val="24"/>
          <w:szCs w:val="24"/>
          <w:lang w:val="en-GB"/>
        </w:rPr>
        <w:t>been in line with the Scandinavian model in Finland, Norway and Sweden</w:t>
      </w:r>
      <w:r w:rsidR="00461F4E">
        <w:rPr>
          <w:rFonts w:ascii="Times New Roman" w:hAnsi="Times New Roman" w:cs="Times New Roman"/>
          <w:sz w:val="24"/>
          <w:szCs w:val="24"/>
          <w:lang w:val="en-GB"/>
        </w:rPr>
        <w:t xml:space="preserve"> with </w:t>
      </w:r>
      <w:r w:rsidR="000C1A23">
        <w:rPr>
          <w:rFonts w:ascii="Times New Roman" w:hAnsi="Times New Roman" w:cs="Times New Roman"/>
          <w:sz w:val="24"/>
          <w:szCs w:val="24"/>
          <w:lang w:val="en-GB"/>
        </w:rPr>
        <w:t>no major long-term changes</w:t>
      </w:r>
      <w:r w:rsidR="00985D2D">
        <w:rPr>
          <w:rFonts w:ascii="Times New Roman" w:hAnsi="Times New Roman" w:cs="Times New Roman"/>
          <w:sz w:val="24"/>
          <w:szCs w:val="24"/>
          <w:lang w:val="en-GB"/>
        </w:rPr>
        <w:t xml:space="preserve">. Norway and Sweden have exhibited </w:t>
      </w:r>
      <w:r w:rsidR="00DE6092">
        <w:rPr>
          <w:rFonts w:ascii="Times New Roman" w:hAnsi="Times New Roman" w:cs="Times New Roman"/>
          <w:sz w:val="24"/>
          <w:szCs w:val="24"/>
          <w:lang w:val="en-GB"/>
        </w:rPr>
        <w:t>small variations in the wage share</w:t>
      </w:r>
      <w:r w:rsidR="00904DFF">
        <w:rPr>
          <w:rFonts w:ascii="Times New Roman" w:hAnsi="Times New Roman" w:cs="Times New Roman"/>
          <w:sz w:val="24"/>
          <w:szCs w:val="24"/>
          <w:lang w:val="en-GB"/>
        </w:rPr>
        <w:t xml:space="preserve"> </w:t>
      </w:r>
      <w:r w:rsidR="00011ACD">
        <w:rPr>
          <w:rFonts w:ascii="Times New Roman" w:hAnsi="Times New Roman" w:cs="Times New Roman"/>
          <w:sz w:val="24"/>
          <w:szCs w:val="24"/>
          <w:lang w:val="en-GB"/>
        </w:rPr>
        <w:t>in manufacturing</w:t>
      </w:r>
      <w:r w:rsidR="00DE6092">
        <w:rPr>
          <w:rFonts w:ascii="Times New Roman" w:hAnsi="Times New Roman" w:cs="Times New Roman"/>
          <w:sz w:val="24"/>
          <w:szCs w:val="24"/>
          <w:lang w:val="en-GB"/>
        </w:rPr>
        <w:t xml:space="preserve"> during this period, whereas </w:t>
      </w:r>
      <w:r w:rsidR="00B94303">
        <w:rPr>
          <w:rFonts w:ascii="Times New Roman" w:hAnsi="Times New Roman" w:cs="Times New Roman"/>
          <w:sz w:val="24"/>
          <w:szCs w:val="24"/>
          <w:lang w:val="en-GB"/>
        </w:rPr>
        <w:t xml:space="preserve">there was a substantial increase in Finland </w:t>
      </w:r>
      <w:r w:rsidR="008D4644">
        <w:rPr>
          <w:rFonts w:ascii="Times New Roman" w:hAnsi="Times New Roman" w:cs="Times New Roman"/>
          <w:sz w:val="24"/>
          <w:szCs w:val="24"/>
          <w:lang w:val="en-GB"/>
        </w:rPr>
        <w:t xml:space="preserve">in 2008–12 followed by a decline of </w:t>
      </w:r>
      <w:r w:rsidR="0006150F">
        <w:rPr>
          <w:rFonts w:ascii="Times New Roman" w:hAnsi="Times New Roman" w:cs="Times New Roman"/>
          <w:sz w:val="24"/>
          <w:szCs w:val="24"/>
          <w:lang w:val="en-GB"/>
        </w:rPr>
        <w:t>a similar</w:t>
      </w:r>
      <w:r w:rsidR="008D4644">
        <w:rPr>
          <w:rFonts w:ascii="Times New Roman" w:hAnsi="Times New Roman" w:cs="Times New Roman"/>
          <w:sz w:val="24"/>
          <w:szCs w:val="24"/>
          <w:lang w:val="en-GB"/>
        </w:rPr>
        <w:t xml:space="preserve"> magnitude. </w:t>
      </w:r>
      <w:r w:rsidR="00904DFF">
        <w:rPr>
          <w:rFonts w:ascii="Times New Roman" w:hAnsi="Times New Roman" w:cs="Times New Roman"/>
          <w:sz w:val="24"/>
          <w:szCs w:val="24"/>
          <w:lang w:val="en-GB"/>
        </w:rPr>
        <w:t>In Denmark, there has been a trend</w:t>
      </w:r>
      <w:r w:rsidR="00543BAE">
        <w:rPr>
          <w:rFonts w:ascii="Times New Roman" w:hAnsi="Times New Roman" w:cs="Times New Roman"/>
          <w:sz w:val="24"/>
          <w:szCs w:val="24"/>
          <w:lang w:val="en-GB"/>
        </w:rPr>
        <w:t>-</w:t>
      </w:r>
      <w:r w:rsidR="00011ACD">
        <w:rPr>
          <w:rFonts w:ascii="Times New Roman" w:hAnsi="Times New Roman" w:cs="Times New Roman"/>
          <w:sz w:val="24"/>
          <w:szCs w:val="24"/>
          <w:lang w:val="en-GB"/>
        </w:rPr>
        <w:t>wise decline of the wage share in manufacturing</w:t>
      </w:r>
      <w:r w:rsidR="00543BAE">
        <w:rPr>
          <w:rFonts w:ascii="Times New Roman" w:hAnsi="Times New Roman" w:cs="Times New Roman"/>
          <w:sz w:val="24"/>
          <w:szCs w:val="24"/>
          <w:lang w:val="en-GB"/>
        </w:rPr>
        <w:t>.</w:t>
      </w:r>
    </w:p>
    <w:p w14:paraId="6D2B47C2" w14:textId="471B2292" w:rsidR="002C35AA" w:rsidRDefault="00B3760F" w:rsidP="0018301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Also,</w:t>
      </w:r>
      <w:r w:rsidR="00A92A97">
        <w:rPr>
          <w:rFonts w:ascii="Times New Roman" w:hAnsi="Times New Roman" w:cs="Times New Roman"/>
          <w:sz w:val="24"/>
          <w:szCs w:val="24"/>
          <w:lang w:val="en-GB"/>
        </w:rPr>
        <w:t xml:space="preserve"> the l</w:t>
      </w:r>
      <w:r w:rsidR="004154A2">
        <w:rPr>
          <w:rFonts w:ascii="Times New Roman" w:hAnsi="Times New Roman" w:cs="Times New Roman"/>
          <w:sz w:val="24"/>
          <w:szCs w:val="24"/>
          <w:lang w:val="en-GB"/>
        </w:rPr>
        <w:t>arge trade balance surpluses in Denmark, Norway and Sweden</w:t>
      </w:r>
      <w:r>
        <w:rPr>
          <w:rFonts w:ascii="Times New Roman" w:hAnsi="Times New Roman" w:cs="Times New Roman"/>
          <w:sz w:val="24"/>
          <w:szCs w:val="24"/>
          <w:lang w:val="en-GB"/>
        </w:rPr>
        <w:t xml:space="preserve"> can be taken as indications that</w:t>
      </w:r>
      <w:r w:rsidR="00A92A97">
        <w:rPr>
          <w:rFonts w:ascii="Times New Roman" w:hAnsi="Times New Roman" w:cs="Times New Roman"/>
          <w:sz w:val="24"/>
          <w:szCs w:val="24"/>
          <w:lang w:val="en-GB"/>
        </w:rPr>
        <w:t xml:space="preserve"> </w:t>
      </w:r>
      <w:r w:rsidR="00970548">
        <w:rPr>
          <w:rFonts w:ascii="Times New Roman" w:hAnsi="Times New Roman" w:cs="Times New Roman"/>
          <w:sz w:val="24"/>
          <w:szCs w:val="24"/>
          <w:lang w:val="en-GB"/>
        </w:rPr>
        <w:t xml:space="preserve">wage formation in these countries have been </w:t>
      </w:r>
      <w:r w:rsidR="00AE22D2">
        <w:rPr>
          <w:rFonts w:ascii="Times New Roman" w:hAnsi="Times New Roman" w:cs="Times New Roman"/>
          <w:sz w:val="24"/>
          <w:szCs w:val="24"/>
          <w:lang w:val="en-GB"/>
        </w:rPr>
        <w:t xml:space="preserve">consistent with strong international competitiveness. In contrast, </w:t>
      </w:r>
      <w:r w:rsidR="00D26693">
        <w:rPr>
          <w:rFonts w:ascii="Times New Roman" w:hAnsi="Times New Roman" w:cs="Times New Roman"/>
          <w:sz w:val="24"/>
          <w:szCs w:val="24"/>
          <w:lang w:val="en-GB"/>
        </w:rPr>
        <w:t>the</w:t>
      </w:r>
      <w:r w:rsidR="00296E56">
        <w:rPr>
          <w:rFonts w:ascii="Times New Roman" w:hAnsi="Times New Roman" w:cs="Times New Roman"/>
          <w:sz w:val="24"/>
          <w:szCs w:val="24"/>
          <w:lang w:val="en-GB"/>
        </w:rPr>
        <w:t xml:space="preserve"> trade balance in Finland has</w:t>
      </w:r>
      <w:r w:rsidR="00C00072">
        <w:rPr>
          <w:rFonts w:ascii="Times New Roman" w:hAnsi="Times New Roman" w:cs="Times New Roman"/>
          <w:sz w:val="24"/>
          <w:szCs w:val="24"/>
          <w:lang w:val="en-GB"/>
        </w:rPr>
        <w:t xml:space="preserve"> recently</w:t>
      </w:r>
      <w:r w:rsidR="00296E56">
        <w:rPr>
          <w:rFonts w:ascii="Times New Roman" w:hAnsi="Times New Roman" w:cs="Times New Roman"/>
          <w:sz w:val="24"/>
          <w:szCs w:val="24"/>
          <w:lang w:val="en-GB"/>
        </w:rPr>
        <w:t xml:space="preserve"> shown small deficits.</w:t>
      </w:r>
      <w:r>
        <w:rPr>
          <w:rFonts w:ascii="Times New Roman" w:hAnsi="Times New Roman" w:cs="Times New Roman"/>
          <w:sz w:val="24"/>
          <w:szCs w:val="24"/>
          <w:lang w:val="en-GB"/>
        </w:rPr>
        <w:t xml:space="preserve"> </w:t>
      </w:r>
    </w:p>
    <w:p w14:paraId="09A86ECC" w14:textId="5BE51E8E" w:rsidR="009C2F80" w:rsidRDefault="00C7124A" w:rsidP="0018301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Ther</w:t>
      </w:r>
      <w:r w:rsidR="00495345">
        <w:rPr>
          <w:rFonts w:ascii="Times New Roman" w:hAnsi="Times New Roman" w:cs="Times New Roman"/>
          <w:sz w:val="24"/>
          <w:szCs w:val="24"/>
          <w:lang w:val="en-GB"/>
        </w:rPr>
        <w:t xml:space="preserve">e </w:t>
      </w:r>
      <w:r w:rsidR="00C00072">
        <w:rPr>
          <w:rFonts w:ascii="Times New Roman" w:hAnsi="Times New Roman" w:cs="Times New Roman"/>
          <w:sz w:val="24"/>
          <w:szCs w:val="24"/>
          <w:lang w:val="en-GB"/>
        </w:rPr>
        <w:t>is</w:t>
      </w:r>
      <w:r w:rsidR="00495345">
        <w:rPr>
          <w:rFonts w:ascii="Times New Roman" w:hAnsi="Times New Roman" w:cs="Times New Roman"/>
          <w:sz w:val="24"/>
          <w:szCs w:val="24"/>
          <w:lang w:val="en-GB"/>
        </w:rPr>
        <w:t xml:space="preserve"> a strong consensus among </w:t>
      </w:r>
      <w:r w:rsidR="00990E09">
        <w:rPr>
          <w:rFonts w:ascii="Times New Roman" w:hAnsi="Times New Roman" w:cs="Times New Roman"/>
          <w:sz w:val="24"/>
          <w:szCs w:val="24"/>
          <w:lang w:val="en-GB"/>
        </w:rPr>
        <w:t>policy makers and</w:t>
      </w:r>
      <w:r w:rsidR="00BD505E">
        <w:rPr>
          <w:rFonts w:ascii="Times New Roman" w:hAnsi="Times New Roman" w:cs="Times New Roman"/>
          <w:sz w:val="24"/>
          <w:szCs w:val="24"/>
          <w:lang w:val="en-GB"/>
        </w:rPr>
        <w:t xml:space="preserve"> officials in </w:t>
      </w:r>
      <w:r w:rsidR="00D57BBF">
        <w:rPr>
          <w:rFonts w:ascii="Times New Roman" w:hAnsi="Times New Roman" w:cs="Times New Roman"/>
          <w:sz w:val="24"/>
          <w:szCs w:val="24"/>
          <w:lang w:val="en-GB"/>
        </w:rPr>
        <w:t xml:space="preserve">labour market organisations in all the Nordic countries </w:t>
      </w:r>
      <w:r w:rsidR="00C00072">
        <w:rPr>
          <w:rFonts w:ascii="Times New Roman" w:hAnsi="Times New Roman" w:cs="Times New Roman"/>
          <w:sz w:val="24"/>
          <w:szCs w:val="24"/>
          <w:lang w:val="en-GB"/>
        </w:rPr>
        <w:t>on</w:t>
      </w:r>
      <w:r w:rsidR="00D57BBF">
        <w:rPr>
          <w:rFonts w:ascii="Times New Roman" w:hAnsi="Times New Roman" w:cs="Times New Roman"/>
          <w:sz w:val="24"/>
          <w:szCs w:val="24"/>
          <w:lang w:val="en-GB"/>
        </w:rPr>
        <w:t xml:space="preserve"> the merits of </w:t>
      </w:r>
      <w:r w:rsidR="00DD6E82">
        <w:rPr>
          <w:rFonts w:ascii="Times New Roman" w:hAnsi="Times New Roman" w:cs="Times New Roman"/>
          <w:sz w:val="24"/>
          <w:szCs w:val="24"/>
          <w:lang w:val="en-GB"/>
        </w:rPr>
        <w:t xml:space="preserve">the current form of pattern bargaining. </w:t>
      </w:r>
      <w:r w:rsidR="00B85F3E">
        <w:rPr>
          <w:rFonts w:ascii="Times New Roman" w:hAnsi="Times New Roman" w:cs="Times New Roman"/>
          <w:sz w:val="24"/>
          <w:szCs w:val="24"/>
          <w:lang w:val="en-GB"/>
        </w:rPr>
        <w:t>Therefore</w:t>
      </w:r>
      <w:r w:rsidR="00894307">
        <w:rPr>
          <w:rFonts w:ascii="Times New Roman" w:hAnsi="Times New Roman" w:cs="Times New Roman"/>
          <w:sz w:val="24"/>
          <w:szCs w:val="24"/>
          <w:lang w:val="en-GB"/>
        </w:rPr>
        <w:t xml:space="preserve">, it is </w:t>
      </w:r>
      <w:r w:rsidR="00650D39">
        <w:rPr>
          <w:rFonts w:ascii="Times New Roman" w:hAnsi="Times New Roman" w:cs="Times New Roman"/>
          <w:sz w:val="24"/>
          <w:szCs w:val="24"/>
          <w:lang w:val="en-GB"/>
        </w:rPr>
        <w:t xml:space="preserve">noteworthy that theoretical research </w:t>
      </w:r>
      <w:r w:rsidR="00F07488">
        <w:rPr>
          <w:rFonts w:ascii="Times New Roman" w:hAnsi="Times New Roman" w:cs="Times New Roman"/>
          <w:sz w:val="24"/>
          <w:szCs w:val="24"/>
          <w:lang w:val="en-GB"/>
        </w:rPr>
        <w:t xml:space="preserve">has </w:t>
      </w:r>
      <w:r w:rsidR="00A2643E">
        <w:rPr>
          <w:rFonts w:ascii="Times New Roman" w:hAnsi="Times New Roman" w:cs="Times New Roman"/>
          <w:sz w:val="24"/>
          <w:szCs w:val="24"/>
          <w:lang w:val="en-GB"/>
        </w:rPr>
        <w:t>not been able to</w:t>
      </w:r>
      <w:r w:rsidR="00F07488">
        <w:rPr>
          <w:rFonts w:ascii="Times New Roman" w:hAnsi="Times New Roman" w:cs="Times New Roman"/>
          <w:sz w:val="24"/>
          <w:szCs w:val="24"/>
          <w:lang w:val="en-GB"/>
        </w:rPr>
        <w:t xml:space="preserve"> build a convincing case that wage leadership by </w:t>
      </w:r>
      <w:r w:rsidR="005147CD">
        <w:rPr>
          <w:rFonts w:ascii="Times New Roman" w:hAnsi="Times New Roman" w:cs="Times New Roman"/>
          <w:sz w:val="24"/>
          <w:szCs w:val="24"/>
          <w:lang w:val="en-GB"/>
        </w:rPr>
        <w:t xml:space="preserve">the tradables sector should </w:t>
      </w:r>
      <w:r w:rsidR="009F4308">
        <w:rPr>
          <w:rFonts w:ascii="Times New Roman" w:hAnsi="Times New Roman" w:cs="Times New Roman"/>
          <w:sz w:val="24"/>
          <w:szCs w:val="24"/>
          <w:lang w:val="en-GB"/>
        </w:rPr>
        <w:t>be especially conducive to wage moderation</w:t>
      </w:r>
      <w:r w:rsidR="00821B95">
        <w:rPr>
          <w:rFonts w:ascii="Times New Roman" w:hAnsi="Times New Roman" w:cs="Times New Roman"/>
          <w:sz w:val="24"/>
          <w:szCs w:val="24"/>
          <w:lang w:val="en-GB"/>
        </w:rPr>
        <w:t xml:space="preserve">. </w:t>
      </w:r>
      <w:r w:rsidR="001F470D">
        <w:rPr>
          <w:rFonts w:ascii="Times New Roman" w:hAnsi="Times New Roman" w:cs="Times New Roman"/>
          <w:sz w:val="24"/>
          <w:szCs w:val="24"/>
          <w:lang w:val="en-GB"/>
        </w:rPr>
        <w:t xml:space="preserve">The few existing analyses rather suggest </w:t>
      </w:r>
      <w:r w:rsidR="00412AF1">
        <w:rPr>
          <w:rFonts w:ascii="Times New Roman" w:hAnsi="Times New Roman" w:cs="Times New Roman"/>
          <w:sz w:val="24"/>
          <w:szCs w:val="24"/>
          <w:lang w:val="en-GB"/>
        </w:rPr>
        <w:t>that that it</w:t>
      </w:r>
      <w:r w:rsidR="00C97798">
        <w:rPr>
          <w:rFonts w:ascii="Times New Roman" w:hAnsi="Times New Roman" w:cs="Times New Roman"/>
          <w:sz w:val="24"/>
          <w:szCs w:val="24"/>
          <w:lang w:val="en-GB"/>
        </w:rPr>
        <w:t xml:space="preserve"> is </w:t>
      </w:r>
      <w:r w:rsidR="00412AF1">
        <w:rPr>
          <w:rFonts w:ascii="Times New Roman" w:hAnsi="Times New Roman" w:cs="Times New Roman"/>
          <w:sz w:val="24"/>
          <w:szCs w:val="24"/>
          <w:lang w:val="en-GB"/>
        </w:rPr>
        <w:t xml:space="preserve"> </w:t>
      </w:r>
      <w:r w:rsidR="00E112E9">
        <w:rPr>
          <w:rFonts w:ascii="Times New Roman" w:hAnsi="Times New Roman" w:cs="Times New Roman"/>
          <w:sz w:val="24"/>
          <w:szCs w:val="24"/>
          <w:lang w:val="en-GB"/>
        </w:rPr>
        <w:t>pattern bargaining in itself</w:t>
      </w:r>
      <w:r w:rsidR="00C97798">
        <w:rPr>
          <w:rFonts w:ascii="Times New Roman" w:hAnsi="Times New Roman" w:cs="Times New Roman"/>
          <w:sz w:val="24"/>
          <w:szCs w:val="24"/>
          <w:lang w:val="en-GB"/>
        </w:rPr>
        <w:t xml:space="preserve"> – not that the pattern setter is the tradables sector – that </w:t>
      </w:r>
      <w:r w:rsidR="00DF62B0">
        <w:rPr>
          <w:rFonts w:ascii="Times New Roman" w:hAnsi="Times New Roman" w:cs="Times New Roman"/>
          <w:sz w:val="24"/>
          <w:szCs w:val="24"/>
          <w:lang w:val="en-GB"/>
        </w:rPr>
        <w:t xml:space="preserve">is important. </w:t>
      </w:r>
      <w:r w:rsidR="00950BD0">
        <w:rPr>
          <w:rFonts w:ascii="Times New Roman" w:hAnsi="Times New Roman" w:cs="Times New Roman"/>
          <w:sz w:val="24"/>
          <w:szCs w:val="24"/>
          <w:lang w:val="en-GB"/>
        </w:rPr>
        <w:t xml:space="preserve">The mechanism is that the </w:t>
      </w:r>
      <w:r w:rsidR="00F860E0">
        <w:rPr>
          <w:rFonts w:ascii="Times New Roman" w:hAnsi="Times New Roman" w:cs="Times New Roman"/>
          <w:sz w:val="24"/>
          <w:szCs w:val="24"/>
          <w:lang w:val="en-GB"/>
        </w:rPr>
        <w:t>knowledge that other bargaining areas will mimic</w:t>
      </w:r>
      <w:r w:rsidR="00026989">
        <w:rPr>
          <w:rFonts w:ascii="Times New Roman" w:hAnsi="Times New Roman" w:cs="Times New Roman"/>
          <w:sz w:val="24"/>
          <w:szCs w:val="24"/>
          <w:lang w:val="en-GB"/>
        </w:rPr>
        <w:t>k</w:t>
      </w:r>
      <w:r w:rsidR="00F860E0">
        <w:rPr>
          <w:rFonts w:ascii="Times New Roman" w:hAnsi="Times New Roman" w:cs="Times New Roman"/>
          <w:sz w:val="24"/>
          <w:szCs w:val="24"/>
          <w:lang w:val="en-GB"/>
        </w:rPr>
        <w:t xml:space="preserve"> the wage increases by the pattern setter</w:t>
      </w:r>
      <w:r w:rsidR="00E632B5">
        <w:rPr>
          <w:rFonts w:ascii="Times New Roman" w:hAnsi="Times New Roman" w:cs="Times New Roman"/>
          <w:sz w:val="24"/>
          <w:szCs w:val="24"/>
          <w:lang w:val="en-GB"/>
        </w:rPr>
        <w:t xml:space="preserve">, with </w:t>
      </w:r>
      <w:r w:rsidR="00E32DE7">
        <w:rPr>
          <w:rFonts w:ascii="Times New Roman" w:hAnsi="Times New Roman" w:cs="Times New Roman"/>
          <w:sz w:val="24"/>
          <w:szCs w:val="24"/>
          <w:lang w:val="en-GB"/>
        </w:rPr>
        <w:t>repercussions on her, exerts a moderating influence</w:t>
      </w:r>
      <w:r w:rsidR="00FE5FA6">
        <w:rPr>
          <w:rFonts w:ascii="Times New Roman" w:hAnsi="Times New Roman" w:cs="Times New Roman"/>
          <w:sz w:val="24"/>
          <w:szCs w:val="24"/>
          <w:lang w:val="en-GB"/>
        </w:rPr>
        <w:t xml:space="preserve"> </w:t>
      </w:r>
      <w:r w:rsidR="00BD6929">
        <w:rPr>
          <w:rFonts w:ascii="Times New Roman" w:hAnsi="Times New Roman" w:cs="Times New Roman"/>
          <w:sz w:val="24"/>
          <w:szCs w:val="24"/>
          <w:lang w:val="en-GB"/>
        </w:rPr>
        <w:t xml:space="preserve">similar </w:t>
      </w:r>
      <w:r w:rsidR="00370050">
        <w:rPr>
          <w:rFonts w:ascii="Times New Roman" w:hAnsi="Times New Roman" w:cs="Times New Roman"/>
          <w:sz w:val="24"/>
          <w:szCs w:val="24"/>
          <w:lang w:val="en-GB"/>
        </w:rPr>
        <w:t>to when the conse</w:t>
      </w:r>
      <w:r w:rsidR="00224F34">
        <w:rPr>
          <w:rFonts w:ascii="Times New Roman" w:hAnsi="Times New Roman" w:cs="Times New Roman"/>
          <w:sz w:val="24"/>
          <w:szCs w:val="24"/>
          <w:lang w:val="en-GB"/>
        </w:rPr>
        <w:t>quences of one group’s wage increases on other groups are taken into account</w:t>
      </w:r>
      <w:r w:rsidR="00A5403C">
        <w:rPr>
          <w:rFonts w:ascii="Times New Roman" w:hAnsi="Times New Roman" w:cs="Times New Roman"/>
          <w:sz w:val="24"/>
          <w:szCs w:val="24"/>
          <w:lang w:val="en-GB"/>
        </w:rPr>
        <w:t xml:space="preserve"> – internalisation of externalities </w:t>
      </w:r>
      <w:r w:rsidR="00706366">
        <w:rPr>
          <w:rFonts w:ascii="Times New Roman" w:hAnsi="Times New Roman" w:cs="Times New Roman"/>
          <w:sz w:val="24"/>
          <w:szCs w:val="24"/>
          <w:lang w:val="en-GB"/>
        </w:rPr>
        <w:t xml:space="preserve">– </w:t>
      </w:r>
      <w:r w:rsidR="00A5403C">
        <w:rPr>
          <w:rFonts w:ascii="Times New Roman" w:hAnsi="Times New Roman" w:cs="Times New Roman"/>
          <w:sz w:val="24"/>
          <w:szCs w:val="24"/>
          <w:lang w:val="en-GB"/>
        </w:rPr>
        <w:t>under centralised bargaining between peak organisations</w:t>
      </w:r>
      <w:r w:rsidR="0039206C">
        <w:rPr>
          <w:rFonts w:ascii="Times New Roman" w:hAnsi="Times New Roman" w:cs="Times New Roman"/>
          <w:sz w:val="24"/>
          <w:szCs w:val="24"/>
          <w:lang w:val="en-GB"/>
        </w:rPr>
        <w:t>.</w:t>
      </w:r>
    </w:p>
    <w:p w14:paraId="7038964D" w14:textId="1E58B8AF" w:rsidR="001728FF" w:rsidRDefault="00A814D7" w:rsidP="0018301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Wage </w:t>
      </w:r>
      <w:r w:rsidR="001A5175">
        <w:rPr>
          <w:rFonts w:ascii="Times New Roman" w:hAnsi="Times New Roman" w:cs="Times New Roman"/>
          <w:sz w:val="24"/>
          <w:szCs w:val="24"/>
          <w:lang w:val="en-GB"/>
        </w:rPr>
        <w:t xml:space="preserve">formation </w:t>
      </w:r>
      <w:r w:rsidR="00764168">
        <w:rPr>
          <w:rFonts w:ascii="Times New Roman" w:hAnsi="Times New Roman" w:cs="Times New Roman"/>
          <w:sz w:val="24"/>
          <w:szCs w:val="24"/>
          <w:lang w:val="en-GB"/>
        </w:rPr>
        <w:t xml:space="preserve">guided by international competitiveness concerns </w:t>
      </w:r>
      <w:r w:rsidR="006E5C09">
        <w:rPr>
          <w:rFonts w:ascii="Times New Roman" w:hAnsi="Times New Roman" w:cs="Times New Roman"/>
          <w:sz w:val="24"/>
          <w:szCs w:val="24"/>
          <w:lang w:val="en-GB"/>
        </w:rPr>
        <w:t>works in the direction of preserving the status quo</w:t>
      </w:r>
      <w:r w:rsidR="00A673FE">
        <w:rPr>
          <w:rFonts w:ascii="Times New Roman" w:hAnsi="Times New Roman" w:cs="Times New Roman"/>
          <w:sz w:val="24"/>
          <w:szCs w:val="24"/>
          <w:lang w:val="en-GB"/>
        </w:rPr>
        <w:t xml:space="preserve">. This could come into conflict with </w:t>
      </w:r>
      <w:r w:rsidR="00A97F7D">
        <w:rPr>
          <w:rFonts w:ascii="Times New Roman" w:hAnsi="Times New Roman" w:cs="Times New Roman"/>
          <w:sz w:val="24"/>
          <w:szCs w:val="24"/>
          <w:lang w:val="en-GB"/>
        </w:rPr>
        <w:t xml:space="preserve">demands for </w:t>
      </w:r>
      <w:r w:rsidR="007978C5">
        <w:rPr>
          <w:rFonts w:ascii="Times New Roman" w:hAnsi="Times New Roman" w:cs="Times New Roman"/>
          <w:sz w:val="24"/>
          <w:szCs w:val="24"/>
          <w:lang w:val="en-GB"/>
        </w:rPr>
        <w:t xml:space="preserve">labour reallocation. </w:t>
      </w:r>
      <w:r w:rsidR="0088127F">
        <w:rPr>
          <w:rFonts w:ascii="Times New Roman" w:hAnsi="Times New Roman" w:cs="Times New Roman"/>
          <w:sz w:val="24"/>
          <w:szCs w:val="24"/>
          <w:lang w:val="en-GB"/>
        </w:rPr>
        <w:t xml:space="preserve">Ageing populations </w:t>
      </w:r>
      <w:r w:rsidR="002F43E7">
        <w:rPr>
          <w:rFonts w:ascii="Times New Roman" w:hAnsi="Times New Roman" w:cs="Times New Roman"/>
          <w:sz w:val="24"/>
          <w:szCs w:val="24"/>
          <w:lang w:val="en-GB"/>
        </w:rPr>
        <w:t>in all the Nordic countrie</w:t>
      </w:r>
      <w:r w:rsidR="005D5307">
        <w:rPr>
          <w:rFonts w:ascii="Times New Roman" w:hAnsi="Times New Roman" w:cs="Times New Roman"/>
          <w:sz w:val="24"/>
          <w:szCs w:val="24"/>
          <w:lang w:val="en-GB"/>
        </w:rPr>
        <w:t>s will</w:t>
      </w:r>
      <w:r w:rsidR="002F43E7">
        <w:rPr>
          <w:rFonts w:ascii="Times New Roman" w:hAnsi="Times New Roman" w:cs="Times New Roman"/>
          <w:sz w:val="24"/>
          <w:szCs w:val="24"/>
          <w:lang w:val="en-GB"/>
        </w:rPr>
        <w:t xml:space="preserve"> imply a stagnating </w:t>
      </w:r>
      <w:r w:rsidR="005D5307">
        <w:rPr>
          <w:rFonts w:ascii="Times New Roman" w:hAnsi="Times New Roman" w:cs="Times New Roman"/>
          <w:sz w:val="24"/>
          <w:szCs w:val="24"/>
          <w:lang w:val="en-GB"/>
        </w:rPr>
        <w:t xml:space="preserve">labour supply at the same time as labour requirements in the health and care sector </w:t>
      </w:r>
      <w:r w:rsidR="00A95F7A">
        <w:rPr>
          <w:rFonts w:ascii="Times New Roman" w:hAnsi="Times New Roman" w:cs="Times New Roman"/>
          <w:sz w:val="24"/>
          <w:szCs w:val="24"/>
          <w:lang w:val="en-GB"/>
        </w:rPr>
        <w:t xml:space="preserve">will rise. </w:t>
      </w:r>
      <w:r w:rsidR="009817A8">
        <w:rPr>
          <w:rFonts w:ascii="Times New Roman" w:hAnsi="Times New Roman" w:cs="Times New Roman"/>
          <w:sz w:val="24"/>
          <w:szCs w:val="24"/>
          <w:lang w:val="en-GB"/>
        </w:rPr>
        <w:t>This could make it desirable to reallocate labour from the tradables to the nontrad</w:t>
      </w:r>
      <w:r w:rsidR="00CA0562">
        <w:rPr>
          <w:rFonts w:ascii="Times New Roman" w:hAnsi="Times New Roman" w:cs="Times New Roman"/>
          <w:sz w:val="24"/>
          <w:szCs w:val="24"/>
          <w:lang w:val="en-GB"/>
        </w:rPr>
        <w:t>ables and public sectors.</w:t>
      </w:r>
      <w:r w:rsidR="004A4852">
        <w:rPr>
          <w:rFonts w:ascii="Times New Roman" w:hAnsi="Times New Roman" w:cs="Times New Roman"/>
          <w:sz w:val="24"/>
          <w:szCs w:val="24"/>
          <w:lang w:val="en-GB"/>
        </w:rPr>
        <w:t xml:space="preserve"> </w:t>
      </w:r>
      <w:r w:rsidR="00225A5C">
        <w:rPr>
          <w:rFonts w:ascii="Times New Roman" w:hAnsi="Times New Roman" w:cs="Times New Roman"/>
          <w:sz w:val="24"/>
          <w:szCs w:val="24"/>
          <w:lang w:val="en-GB"/>
        </w:rPr>
        <w:t>In addition, the changing demographics will likely tend to reduce aggregate saving in the economy, and thus to cause the trade balance to deteriorate, which</w:t>
      </w:r>
      <w:r w:rsidR="00D47493">
        <w:rPr>
          <w:rFonts w:ascii="Times New Roman" w:hAnsi="Times New Roman" w:cs="Times New Roman"/>
          <w:sz w:val="24"/>
          <w:szCs w:val="24"/>
          <w:lang w:val="en-GB"/>
        </w:rPr>
        <w:t xml:space="preserve"> would wor</w:t>
      </w:r>
      <w:r w:rsidR="00D13F22">
        <w:rPr>
          <w:rFonts w:ascii="Times New Roman" w:hAnsi="Times New Roman" w:cs="Times New Roman"/>
          <w:sz w:val="24"/>
          <w:szCs w:val="24"/>
          <w:lang w:val="en-GB"/>
        </w:rPr>
        <w:t xml:space="preserve">k in the same direction. </w:t>
      </w:r>
      <w:r w:rsidR="001430EF">
        <w:rPr>
          <w:rFonts w:ascii="Times New Roman" w:hAnsi="Times New Roman" w:cs="Times New Roman"/>
          <w:sz w:val="24"/>
          <w:szCs w:val="24"/>
          <w:lang w:val="en-GB"/>
        </w:rPr>
        <w:t>Wage increases guided by</w:t>
      </w:r>
      <w:r w:rsidR="00313B57">
        <w:rPr>
          <w:rFonts w:ascii="Times New Roman" w:hAnsi="Times New Roman" w:cs="Times New Roman"/>
          <w:sz w:val="24"/>
          <w:szCs w:val="24"/>
          <w:lang w:val="en-GB"/>
        </w:rPr>
        <w:t xml:space="preserve"> </w:t>
      </w:r>
      <w:r w:rsidR="00D92CAE">
        <w:rPr>
          <w:rFonts w:ascii="Times New Roman" w:hAnsi="Times New Roman" w:cs="Times New Roman"/>
          <w:sz w:val="24"/>
          <w:szCs w:val="24"/>
          <w:lang w:val="en-GB"/>
        </w:rPr>
        <w:t xml:space="preserve">the ability to pay </w:t>
      </w:r>
      <w:r w:rsidR="00E17150">
        <w:rPr>
          <w:rFonts w:ascii="Times New Roman" w:hAnsi="Times New Roman" w:cs="Times New Roman"/>
          <w:sz w:val="24"/>
          <w:szCs w:val="24"/>
          <w:lang w:val="en-GB"/>
        </w:rPr>
        <w:t>of the tradables sector and</w:t>
      </w:r>
      <w:r w:rsidR="005C795A">
        <w:rPr>
          <w:rFonts w:ascii="Times New Roman" w:hAnsi="Times New Roman" w:cs="Times New Roman"/>
          <w:sz w:val="24"/>
          <w:szCs w:val="24"/>
          <w:lang w:val="en-GB"/>
        </w:rPr>
        <w:t xml:space="preserve"> an aim</w:t>
      </w:r>
      <w:r w:rsidR="00E17150">
        <w:rPr>
          <w:rFonts w:ascii="Times New Roman" w:hAnsi="Times New Roman" w:cs="Times New Roman"/>
          <w:sz w:val="24"/>
          <w:szCs w:val="24"/>
          <w:lang w:val="en-GB"/>
        </w:rPr>
        <w:t xml:space="preserve"> to preserve its size </w:t>
      </w:r>
      <w:r w:rsidR="00D13F22">
        <w:rPr>
          <w:rFonts w:ascii="Times New Roman" w:hAnsi="Times New Roman" w:cs="Times New Roman"/>
          <w:sz w:val="24"/>
          <w:szCs w:val="24"/>
          <w:lang w:val="en-GB"/>
        </w:rPr>
        <w:t xml:space="preserve">would counteract </w:t>
      </w:r>
      <w:r w:rsidR="00976D9B">
        <w:rPr>
          <w:rFonts w:ascii="Times New Roman" w:hAnsi="Times New Roman" w:cs="Times New Roman"/>
          <w:sz w:val="24"/>
          <w:szCs w:val="24"/>
          <w:lang w:val="en-GB"/>
        </w:rPr>
        <w:t>the desirable adjustment</w:t>
      </w:r>
      <w:r w:rsidR="00490173">
        <w:rPr>
          <w:rFonts w:ascii="Times New Roman" w:hAnsi="Times New Roman" w:cs="Times New Roman"/>
          <w:sz w:val="24"/>
          <w:szCs w:val="24"/>
          <w:lang w:val="en-GB"/>
        </w:rPr>
        <w:t>.</w:t>
      </w:r>
    </w:p>
    <w:p w14:paraId="577C9CCA" w14:textId="3F959BAB" w:rsidR="00E07AD1" w:rsidRDefault="004360FC" w:rsidP="00E07AD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above considerations could motivate more flexible</w:t>
      </w:r>
      <w:r w:rsidR="003C7673">
        <w:rPr>
          <w:rFonts w:ascii="Times New Roman" w:hAnsi="Times New Roman" w:cs="Times New Roman"/>
          <w:sz w:val="24"/>
          <w:szCs w:val="24"/>
          <w:lang w:val="en-GB"/>
        </w:rPr>
        <w:t xml:space="preserve"> norm</w:t>
      </w:r>
      <w:r w:rsidR="0087141C">
        <w:rPr>
          <w:rFonts w:ascii="Times New Roman" w:hAnsi="Times New Roman" w:cs="Times New Roman"/>
          <w:sz w:val="24"/>
          <w:szCs w:val="24"/>
          <w:lang w:val="en-GB"/>
        </w:rPr>
        <w:t xml:space="preserve"> </w:t>
      </w:r>
      <w:r w:rsidR="003C7673">
        <w:rPr>
          <w:rFonts w:ascii="Times New Roman" w:hAnsi="Times New Roman" w:cs="Times New Roman"/>
          <w:sz w:val="24"/>
          <w:szCs w:val="24"/>
          <w:lang w:val="en-GB"/>
        </w:rPr>
        <w:t xml:space="preserve">setting. This </w:t>
      </w:r>
      <w:r w:rsidR="0059669D">
        <w:rPr>
          <w:rFonts w:ascii="Times New Roman" w:hAnsi="Times New Roman" w:cs="Times New Roman"/>
          <w:sz w:val="24"/>
          <w:szCs w:val="24"/>
          <w:lang w:val="en-GB"/>
        </w:rPr>
        <w:t xml:space="preserve">may apply to both </w:t>
      </w:r>
      <w:r w:rsidR="000556B5">
        <w:rPr>
          <w:rFonts w:ascii="Times New Roman" w:hAnsi="Times New Roman" w:cs="Times New Roman"/>
          <w:sz w:val="24"/>
          <w:szCs w:val="24"/>
          <w:lang w:val="en-GB"/>
        </w:rPr>
        <w:t xml:space="preserve">the determination of </w:t>
      </w:r>
      <w:r w:rsidR="00E54C87">
        <w:rPr>
          <w:rFonts w:ascii="Times New Roman" w:hAnsi="Times New Roman" w:cs="Times New Roman"/>
          <w:sz w:val="24"/>
          <w:szCs w:val="24"/>
          <w:lang w:val="en-GB"/>
        </w:rPr>
        <w:t>the</w:t>
      </w:r>
      <w:r w:rsidR="000556B5">
        <w:rPr>
          <w:rFonts w:ascii="Times New Roman" w:hAnsi="Times New Roman" w:cs="Times New Roman"/>
          <w:sz w:val="24"/>
          <w:szCs w:val="24"/>
          <w:lang w:val="en-GB"/>
        </w:rPr>
        <w:t xml:space="preserve"> norm to be followed</w:t>
      </w:r>
      <w:r w:rsidR="00A128BF">
        <w:rPr>
          <w:rFonts w:ascii="Times New Roman" w:hAnsi="Times New Roman" w:cs="Times New Roman"/>
          <w:sz w:val="24"/>
          <w:szCs w:val="24"/>
          <w:lang w:val="en-GB"/>
        </w:rPr>
        <w:t xml:space="preserve"> in most bargaining areas</w:t>
      </w:r>
      <w:r w:rsidR="000556B5">
        <w:rPr>
          <w:rFonts w:ascii="Times New Roman" w:hAnsi="Times New Roman" w:cs="Times New Roman"/>
          <w:sz w:val="24"/>
          <w:szCs w:val="24"/>
          <w:lang w:val="en-GB"/>
        </w:rPr>
        <w:t xml:space="preserve"> and </w:t>
      </w:r>
      <w:r w:rsidR="004527D7">
        <w:rPr>
          <w:rFonts w:ascii="Times New Roman" w:hAnsi="Times New Roman" w:cs="Times New Roman"/>
          <w:sz w:val="24"/>
          <w:szCs w:val="24"/>
          <w:lang w:val="en-GB"/>
        </w:rPr>
        <w:t xml:space="preserve">how binding </w:t>
      </w:r>
      <w:r w:rsidR="00E54C87">
        <w:rPr>
          <w:rFonts w:ascii="Times New Roman" w:hAnsi="Times New Roman" w:cs="Times New Roman"/>
          <w:sz w:val="24"/>
          <w:szCs w:val="24"/>
          <w:lang w:val="en-GB"/>
        </w:rPr>
        <w:t>this</w:t>
      </w:r>
      <w:r w:rsidR="004527D7">
        <w:rPr>
          <w:rFonts w:ascii="Times New Roman" w:hAnsi="Times New Roman" w:cs="Times New Roman"/>
          <w:sz w:val="24"/>
          <w:szCs w:val="24"/>
          <w:lang w:val="en-GB"/>
        </w:rPr>
        <w:t xml:space="preserve"> norm should be, i.e. </w:t>
      </w:r>
      <w:r w:rsidR="0087141C">
        <w:rPr>
          <w:rFonts w:ascii="Times New Roman" w:hAnsi="Times New Roman" w:cs="Times New Roman"/>
          <w:sz w:val="24"/>
          <w:szCs w:val="24"/>
          <w:lang w:val="en-GB"/>
        </w:rPr>
        <w:t>the degree of relative-wage flexibility.</w:t>
      </w:r>
    </w:p>
    <w:p w14:paraId="50564D63" w14:textId="28EE5C94" w:rsidR="00E54C87" w:rsidRDefault="00E54C87" w:rsidP="00E07AD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 possible future situation with demand shifting from tradables to nontradables, as discussed above, it </w:t>
      </w:r>
      <w:r w:rsidR="00843195">
        <w:rPr>
          <w:rFonts w:ascii="Times New Roman" w:hAnsi="Times New Roman" w:cs="Times New Roman"/>
          <w:sz w:val="24"/>
          <w:szCs w:val="24"/>
          <w:lang w:val="en-GB"/>
        </w:rPr>
        <w:t>might</w:t>
      </w:r>
      <w:r>
        <w:rPr>
          <w:rFonts w:ascii="Times New Roman" w:hAnsi="Times New Roman" w:cs="Times New Roman"/>
          <w:sz w:val="24"/>
          <w:szCs w:val="24"/>
          <w:lang w:val="en-GB"/>
        </w:rPr>
        <w:t xml:space="preserve"> be desirable to base wage increases not only on price (and productivity) </w:t>
      </w:r>
      <w:r>
        <w:rPr>
          <w:rFonts w:ascii="Times New Roman" w:hAnsi="Times New Roman" w:cs="Times New Roman"/>
          <w:sz w:val="24"/>
          <w:szCs w:val="24"/>
          <w:lang w:val="en-GB"/>
        </w:rPr>
        <w:lastRenderedPageBreak/>
        <w:t>increases in the tradables sector but to factor in to some extent price developments for nontradables as well.</w:t>
      </w:r>
      <w:r w:rsidR="004504FB">
        <w:rPr>
          <w:rFonts w:ascii="Times New Roman" w:hAnsi="Times New Roman" w:cs="Times New Roman"/>
          <w:sz w:val="24"/>
          <w:szCs w:val="24"/>
          <w:lang w:val="en-GB"/>
        </w:rPr>
        <w:t xml:space="preserve"> This may be particularly relevant in an inflation-targeting regime as in Norway and Sweden, where the inflation target serves as an anchor for inflation. </w:t>
      </w:r>
      <w:r>
        <w:rPr>
          <w:rFonts w:ascii="Times New Roman" w:hAnsi="Times New Roman" w:cs="Times New Roman"/>
          <w:sz w:val="24"/>
          <w:szCs w:val="24"/>
          <w:lang w:val="en-GB"/>
        </w:rPr>
        <w:t xml:space="preserve"> </w:t>
      </w:r>
      <w:r w:rsidR="004504FB">
        <w:rPr>
          <w:rFonts w:ascii="Times New Roman" w:hAnsi="Times New Roman" w:cs="Times New Roman"/>
          <w:sz w:val="24"/>
          <w:szCs w:val="24"/>
          <w:lang w:val="en-GB"/>
        </w:rPr>
        <w:t>Such an approach was for many years</w:t>
      </w:r>
      <w:r>
        <w:rPr>
          <w:rFonts w:ascii="Times New Roman" w:hAnsi="Times New Roman" w:cs="Times New Roman"/>
          <w:sz w:val="24"/>
          <w:szCs w:val="24"/>
          <w:lang w:val="en-GB"/>
        </w:rPr>
        <w:t xml:space="preserve"> followed by the National Institute of Economic Research (</w:t>
      </w:r>
      <w:r>
        <w:rPr>
          <w:rFonts w:ascii="Times New Roman" w:hAnsi="Times New Roman" w:cs="Times New Roman"/>
          <w:i/>
          <w:iCs/>
          <w:sz w:val="24"/>
          <w:szCs w:val="24"/>
          <w:lang w:val="en-GB"/>
        </w:rPr>
        <w:t>Konjunkturinstitutet</w:t>
      </w:r>
      <w:r>
        <w:rPr>
          <w:rFonts w:ascii="Times New Roman" w:hAnsi="Times New Roman" w:cs="Times New Roman"/>
          <w:sz w:val="24"/>
          <w:szCs w:val="24"/>
          <w:lang w:val="en-GB"/>
        </w:rPr>
        <w:t>) in Sweden, which has a remit from the government to publish an annual report on wage formation</w:t>
      </w:r>
      <w:r w:rsidR="004504FB">
        <w:rPr>
          <w:rFonts w:ascii="Times New Roman" w:hAnsi="Times New Roman" w:cs="Times New Roman"/>
          <w:sz w:val="24"/>
          <w:szCs w:val="24"/>
          <w:lang w:val="en-GB"/>
        </w:rPr>
        <w:t xml:space="preserve">. The institute calculated a long-term benchmark for wage increases by adding the anticipated productivity increase in the </w:t>
      </w:r>
      <w:r w:rsidR="004504FB">
        <w:rPr>
          <w:rFonts w:ascii="Times New Roman" w:hAnsi="Times New Roman" w:cs="Times New Roman"/>
          <w:i/>
          <w:iCs/>
          <w:sz w:val="24"/>
          <w:szCs w:val="24"/>
          <w:lang w:val="en-GB"/>
        </w:rPr>
        <w:t xml:space="preserve">whole </w:t>
      </w:r>
      <w:r w:rsidR="004504FB">
        <w:rPr>
          <w:rFonts w:ascii="Times New Roman" w:hAnsi="Times New Roman" w:cs="Times New Roman"/>
          <w:sz w:val="24"/>
          <w:szCs w:val="24"/>
          <w:lang w:val="en-GB"/>
        </w:rPr>
        <w:t>business sector and the increase in the value-added price there assessed to be compatible with the inflation target (see, e.g. Konjunkturinstitutet, 2016).</w:t>
      </w:r>
    </w:p>
    <w:p w14:paraId="2E2CD9DF" w14:textId="2150EE06" w:rsidR="004504FB" w:rsidRDefault="00D24436" w:rsidP="00E07AD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Such broader norm-setting considerations could in principle be made by the manufacturing sector itself based on a consensus among both trade unions and employers’ associations that the sector should have such a mandate. Alternatively, the bargaining area acting as pattern setter could be extended to include also areas encompassing non-tradables (for example, a large area such as retailing).</w:t>
      </w:r>
      <w:r>
        <w:rPr>
          <w:rStyle w:val="FootnoteReference"/>
          <w:rFonts w:ascii="Times New Roman" w:hAnsi="Times New Roman" w:cs="Times New Roman"/>
          <w:sz w:val="24"/>
          <w:szCs w:val="24"/>
          <w:lang w:val="en-GB"/>
        </w:rPr>
        <w:footnoteReference w:id="43"/>
      </w:r>
      <w:r>
        <w:rPr>
          <w:rFonts w:ascii="Times New Roman" w:hAnsi="Times New Roman" w:cs="Times New Roman"/>
          <w:sz w:val="24"/>
          <w:szCs w:val="24"/>
          <w:lang w:val="en-GB"/>
        </w:rPr>
        <w:t xml:space="preserve"> </w:t>
      </w:r>
    </w:p>
    <w:p w14:paraId="11CBC65E" w14:textId="1D2DD0DD" w:rsidR="0035112D" w:rsidRDefault="0035112D" w:rsidP="00E07AD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Reallocations of labour could also be facilitated if norm setting allowed greater relative-wage flexibility. In the Swedish discussion, Calmfors (2018) and Calmfors et al. (2019) proposed that the bargaining parties should adopt a principle that deviations from the norm for wage increases – upwards or downwards – should be allowed in the case of large imbalances between labour supply and demand in individual bargaining areas</w:t>
      </w:r>
      <w:r w:rsidR="00C801BC">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C801BC">
        <w:rPr>
          <w:rFonts w:ascii="Times New Roman" w:hAnsi="Times New Roman" w:cs="Times New Roman"/>
          <w:sz w:val="24"/>
          <w:szCs w:val="24"/>
          <w:lang w:val="en-GB"/>
        </w:rPr>
        <w:t>The establishment of an</w:t>
      </w:r>
      <w:r>
        <w:rPr>
          <w:rFonts w:ascii="Times New Roman" w:hAnsi="Times New Roman" w:cs="Times New Roman"/>
          <w:sz w:val="24"/>
          <w:szCs w:val="24"/>
          <w:lang w:val="en-GB"/>
        </w:rPr>
        <w:t xml:space="preserve"> independent advisory expert council, which on request from a trade union or an employers’ association, could express a – non-binding – opinion on this</w:t>
      </w:r>
      <w:r w:rsidR="00023144">
        <w:rPr>
          <w:rFonts w:ascii="Times New Roman" w:hAnsi="Times New Roman" w:cs="Times New Roman"/>
          <w:sz w:val="24"/>
          <w:szCs w:val="24"/>
          <w:lang w:val="en-GB"/>
        </w:rPr>
        <w:t xml:space="preserve"> was also proposed.</w:t>
      </w:r>
      <w:r>
        <w:rPr>
          <w:rFonts w:ascii="Times New Roman" w:hAnsi="Times New Roman" w:cs="Times New Roman"/>
          <w:sz w:val="24"/>
          <w:szCs w:val="24"/>
          <w:lang w:val="en-GB"/>
        </w:rPr>
        <w:t xml:space="preserve"> </w:t>
      </w:r>
      <w:r w:rsidR="00DD3EFB">
        <w:rPr>
          <w:rFonts w:ascii="Times New Roman" w:hAnsi="Times New Roman" w:cs="Times New Roman"/>
          <w:sz w:val="24"/>
          <w:szCs w:val="24"/>
          <w:lang w:val="en-GB"/>
        </w:rPr>
        <w:t>M</w:t>
      </w:r>
      <w:r>
        <w:rPr>
          <w:rFonts w:ascii="Times New Roman" w:hAnsi="Times New Roman" w:cs="Times New Roman"/>
          <w:sz w:val="24"/>
          <w:szCs w:val="24"/>
          <w:lang w:val="en-GB"/>
        </w:rPr>
        <w:t xml:space="preserve">ediation institutions </w:t>
      </w:r>
      <w:r w:rsidR="00DD3EFB">
        <w:rPr>
          <w:rFonts w:ascii="Times New Roman" w:hAnsi="Times New Roman" w:cs="Times New Roman"/>
          <w:sz w:val="24"/>
          <w:szCs w:val="24"/>
          <w:lang w:val="en-GB"/>
        </w:rPr>
        <w:t xml:space="preserve">might also take such an opinion into account, </w:t>
      </w:r>
      <w:r>
        <w:rPr>
          <w:rFonts w:ascii="Times New Roman" w:hAnsi="Times New Roman" w:cs="Times New Roman"/>
          <w:sz w:val="24"/>
          <w:szCs w:val="24"/>
          <w:lang w:val="en-GB"/>
        </w:rPr>
        <w:t>allowing them more flexibility</w:t>
      </w:r>
      <w:r w:rsidR="00DD3EFB">
        <w:rPr>
          <w:rFonts w:ascii="Times New Roman" w:hAnsi="Times New Roman" w:cs="Times New Roman"/>
          <w:sz w:val="24"/>
          <w:szCs w:val="24"/>
          <w:lang w:val="en-GB"/>
        </w:rPr>
        <w:t xml:space="preserve"> to deviate from the norm than today</w:t>
      </w:r>
      <w:r>
        <w:rPr>
          <w:rFonts w:ascii="Times New Roman" w:hAnsi="Times New Roman" w:cs="Times New Roman"/>
          <w:sz w:val="24"/>
          <w:szCs w:val="24"/>
          <w:lang w:val="en-GB"/>
        </w:rPr>
        <w:t>.</w:t>
      </w:r>
    </w:p>
    <w:p w14:paraId="30168CC3" w14:textId="4C538F0A" w:rsidR="00CD226C" w:rsidRPr="00E54C87" w:rsidRDefault="00CD226C" w:rsidP="00E07AD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sum up: pattern </w:t>
      </w:r>
      <w:r w:rsidR="00125D74">
        <w:rPr>
          <w:rFonts w:ascii="Times New Roman" w:hAnsi="Times New Roman" w:cs="Times New Roman"/>
          <w:sz w:val="24"/>
          <w:szCs w:val="24"/>
          <w:lang w:val="en-GB"/>
        </w:rPr>
        <w:t>setting by the</w:t>
      </w:r>
      <w:r>
        <w:rPr>
          <w:rFonts w:ascii="Times New Roman" w:hAnsi="Times New Roman" w:cs="Times New Roman"/>
          <w:sz w:val="24"/>
          <w:szCs w:val="24"/>
          <w:lang w:val="en-GB"/>
        </w:rPr>
        <w:t xml:space="preserve"> manufacturing sector in Denmark, Norway and Sweden over the last decades </w:t>
      </w:r>
      <w:r w:rsidR="008F7C1A">
        <w:rPr>
          <w:rFonts w:ascii="Times New Roman" w:hAnsi="Times New Roman" w:cs="Times New Roman"/>
          <w:sz w:val="24"/>
          <w:szCs w:val="24"/>
          <w:lang w:val="en-GB"/>
        </w:rPr>
        <w:t xml:space="preserve">has by </w:t>
      </w:r>
      <w:r>
        <w:rPr>
          <w:rFonts w:ascii="Times New Roman" w:hAnsi="Times New Roman" w:cs="Times New Roman"/>
          <w:sz w:val="24"/>
          <w:szCs w:val="24"/>
          <w:lang w:val="en-GB"/>
        </w:rPr>
        <w:t>coordinating wage increases across the economy contribut</w:t>
      </w:r>
      <w:r w:rsidR="008F7C1A">
        <w:rPr>
          <w:rFonts w:ascii="Times New Roman" w:hAnsi="Times New Roman" w:cs="Times New Roman"/>
          <w:sz w:val="24"/>
          <w:szCs w:val="24"/>
          <w:lang w:val="en-GB"/>
        </w:rPr>
        <w:t>ed</w:t>
      </w:r>
      <w:r>
        <w:rPr>
          <w:rFonts w:ascii="Times New Roman" w:hAnsi="Times New Roman" w:cs="Times New Roman"/>
          <w:sz w:val="24"/>
          <w:szCs w:val="24"/>
          <w:lang w:val="en-GB"/>
        </w:rPr>
        <w:t xml:space="preserve"> to </w:t>
      </w:r>
      <w:r w:rsidR="00780EF8">
        <w:rPr>
          <w:rFonts w:ascii="Times New Roman" w:hAnsi="Times New Roman" w:cs="Times New Roman"/>
          <w:sz w:val="24"/>
          <w:szCs w:val="24"/>
          <w:lang w:val="en-GB"/>
        </w:rPr>
        <w:t xml:space="preserve">international cost competitiveness, </w:t>
      </w:r>
      <w:r>
        <w:rPr>
          <w:rFonts w:ascii="Times New Roman" w:hAnsi="Times New Roman" w:cs="Times New Roman"/>
          <w:sz w:val="24"/>
          <w:szCs w:val="24"/>
          <w:lang w:val="en-GB"/>
        </w:rPr>
        <w:t xml:space="preserve">holding inflation in check and promoting high employment. </w:t>
      </w:r>
      <w:r w:rsidR="00780EF8">
        <w:rPr>
          <w:rFonts w:ascii="Times New Roman" w:hAnsi="Times New Roman" w:cs="Times New Roman"/>
          <w:sz w:val="24"/>
          <w:szCs w:val="24"/>
          <w:lang w:val="en-GB"/>
        </w:rPr>
        <w:t xml:space="preserve">Changing demographics may, however, entail important challenges, as a rigid interpretation of competitiveness norms could imply a status-quo bias counteracting shifts in relative sector sizes. An unchanged size of </w:t>
      </w:r>
      <w:r w:rsidR="002B02BF">
        <w:rPr>
          <w:rFonts w:ascii="Times New Roman" w:hAnsi="Times New Roman" w:cs="Times New Roman"/>
          <w:sz w:val="24"/>
          <w:szCs w:val="24"/>
          <w:lang w:val="en-GB"/>
        </w:rPr>
        <w:t>the tradables sector</w:t>
      </w:r>
      <w:r w:rsidR="006940C4">
        <w:rPr>
          <w:rFonts w:ascii="Times New Roman" w:hAnsi="Times New Roman" w:cs="Times New Roman"/>
          <w:sz w:val="24"/>
          <w:szCs w:val="24"/>
          <w:lang w:val="en-GB"/>
        </w:rPr>
        <w:t xml:space="preserve"> and norm setting by it</w:t>
      </w:r>
      <w:r w:rsidR="002B02BF">
        <w:rPr>
          <w:rFonts w:ascii="Times New Roman" w:hAnsi="Times New Roman" w:cs="Times New Roman"/>
          <w:sz w:val="24"/>
          <w:szCs w:val="24"/>
          <w:lang w:val="en-GB"/>
        </w:rPr>
        <w:t xml:space="preserve"> are not ends in </w:t>
      </w:r>
      <w:r w:rsidR="002B02BF">
        <w:rPr>
          <w:rFonts w:ascii="Times New Roman" w:hAnsi="Times New Roman" w:cs="Times New Roman"/>
          <w:sz w:val="24"/>
          <w:szCs w:val="24"/>
          <w:lang w:val="en-GB"/>
        </w:rPr>
        <w:lastRenderedPageBreak/>
        <w:t xml:space="preserve">themselves but have been useful intermediate targets. In the future, a more flexible approach may be warranted in order to permit desirable labour reallocation between sectors. </w:t>
      </w:r>
    </w:p>
    <w:p w14:paraId="2C8378C6" w14:textId="4885FE61" w:rsidR="0076542B" w:rsidRPr="008445E3" w:rsidRDefault="00FC212B" w:rsidP="00E07AD1">
      <w:pPr>
        <w:pStyle w:val="Heading1"/>
        <w:rPr>
          <w:rFonts w:ascii="Times New Roman" w:hAnsi="Times New Roman" w:cs="Times New Roman"/>
          <w:sz w:val="24"/>
          <w:szCs w:val="24"/>
        </w:rPr>
      </w:pPr>
      <w:r w:rsidRPr="008445E3">
        <w:t>References</w:t>
      </w:r>
    </w:p>
    <w:p w14:paraId="0CC04598" w14:textId="3FF25820" w:rsidR="00A94877" w:rsidRPr="0018261D" w:rsidRDefault="008B2819" w:rsidP="00A94877">
      <w:pPr>
        <w:rPr>
          <w:rFonts w:ascii="Times New Roman" w:hAnsi="Times New Roman" w:cs="Times New Roman"/>
          <w:sz w:val="24"/>
          <w:szCs w:val="24"/>
          <w:lang w:val="en-GB"/>
        </w:rPr>
      </w:pPr>
      <w:r w:rsidRPr="00E176A8">
        <w:rPr>
          <w:rFonts w:ascii="Times New Roman" w:hAnsi="Times New Roman" w:cs="Times New Roman"/>
          <w:sz w:val="24"/>
          <w:szCs w:val="24"/>
        </w:rPr>
        <w:t xml:space="preserve">Andersen, T. (2023). </w:t>
      </w:r>
      <w:r w:rsidRPr="008B2819">
        <w:rPr>
          <w:rFonts w:ascii="Times New Roman" w:hAnsi="Times New Roman" w:cs="Times New Roman"/>
          <w:i/>
          <w:iCs/>
          <w:sz w:val="24"/>
          <w:szCs w:val="24"/>
        </w:rPr>
        <w:t>Nordiske erfaringer o</w:t>
      </w:r>
      <w:r>
        <w:rPr>
          <w:rFonts w:ascii="Times New Roman" w:hAnsi="Times New Roman" w:cs="Times New Roman"/>
          <w:i/>
          <w:iCs/>
          <w:sz w:val="24"/>
          <w:szCs w:val="24"/>
        </w:rPr>
        <w:t xml:space="preserve">g perspektiver på den offentlige </w:t>
      </w:r>
      <w:r w:rsidR="00393541">
        <w:rPr>
          <w:rFonts w:ascii="Times New Roman" w:hAnsi="Times New Roman" w:cs="Times New Roman"/>
          <w:i/>
          <w:iCs/>
          <w:sz w:val="24"/>
          <w:szCs w:val="24"/>
        </w:rPr>
        <w:t>l</w:t>
      </w:r>
      <w:r w:rsidR="00393541" w:rsidRPr="00393541">
        <w:rPr>
          <w:rFonts w:ascii="Times New Roman" w:hAnsi="Times New Roman" w:cs="Times New Roman"/>
          <w:i/>
          <w:iCs/>
          <w:sz w:val="24"/>
          <w:szCs w:val="24"/>
        </w:rPr>
        <w:t>øndannelse</w:t>
      </w:r>
      <w:r w:rsidR="00393541">
        <w:rPr>
          <w:rFonts w:ascii="Times New Roman" w:hAnsi="Times New Roman" w:cs="Times New Roman"/>
          <w:sz w:val="24"/>
          <w:szCs w:val="24"/>
        </w:rPr>
        <w:t xml:space="preserve">. </w:t>
      </w:r>
      <w:r w:rsidR="00393541" w:rsidRPr="0018261D">
        <w:rPr>
          <w:rFonts w:ascii="Times New Roman" w:hAnsi="Times New Roman" w:cs="Times New Roman"/>
          <w:sz w:val="24"/>
          <w:szCs w:val="24"/>
          <w:lang w:val="en-GB"/>
        </w:rPr>
        <w:t>Baggrundsrapport</w:t>
      </w:r>
      <w:r w:rsidR="00574D89" w:rsidRPr="0018261D">
        <w:rPr>
          <w:rFonts w:ascii="Times New Roman" w:hAnsi="Times New Roman" w:cs="Times New Roman"/>
          <w:sz w:val="24"/>
          <w:szCs w:val="24"/>
          <w:lang w:val="en-GB"/>
        </w:rPr>
        <w:t xml:space="preserve"> til Lønstrukturkomitéen. Copenhagen</w:t>
      </w:r>
      <w:r w:rsidR="00AF6DF8" w:rsidRPr="0018261D">
        <w:rPr>
          <w:rFonts w:ascii="Times New Roman" w:hAnsi="Times New Roman" w:cs="Times New Roman"/>
          <w:sz w:val="24"/>
          <w:szCs w:val="24"/>
          <w:lang w:val="en-GB"/>
        </w:rPr>
        <w:t>.</w:t>
      </w:r>
    </w:p>
    <w:p w14:paraId="26B5ED8D" w14:textId="5CE63EEF" w:rsidR="009742FB" w:rsidRPr="0036796E" w:rsidRDefault="009742FB" w:rsidP="00A94877">
      <w:pPr>
        <w:rPr>
          <w:rFonts w:ascii="Times New Roman" w:hAnsi="Times New Roman" w:cs="Times New Roman"/>
          <w:sz w:val="24"/>
          <w:szCs w:val="24"/>
          <w:lang w:val="en-GB"/>
        </w:rPr>
      </w:pPr>
      <w:r w:rsidRPr="0072078B">
        <w:rPr>
          <w:rFonts w:ascii="Times New Roman" w:hAnsi="Times New Roman" w:cs="Times New Roman"/>
          <w:sz w:val="24"/>
          <w:szCs w:val="24"/>
          <w:lang w:val="en-GB"/>
        </w:rPr>
        <w:t xml:space="preserve">Andersen, T. (2024). </w:t>
      </w:r>
      <w:r w:rsidR="0072078B" w:rsidRPr="0072078B">
        <w:rPr>
          <w:rFonts w:ascii="Times New Roman" w:hAnsi="Times New Roman" w:cs="Times New Roman"/>
          <w:sz w:val="24"/>
          <w:szCs w:val="24"/>
          <w:lang w:val="en-GB"/>
        </w:rPr>
        <w:t>Fiscal Policy C</w:t>
      </w:r>
      <w:r w:rsidR="0072078B">
        <w:rPr>
          <w:rFonts w:ascii="Times New Roman" w:hAnsi="Times New Roman" w:cs="Times New Roman"/>
          <w:sz w:val="24"/>
          <w:szCs w:val="24"/>
          <w:lang w:val="en-GB"/>
        </w:rPr>
        <w:t>hallenges in the Nordic Countries</w:t>
      </w:r>
      <w:r w:rsidR="00431C28">
        <w:rPr>
          <w:rFonts w:ascii="Times New Roman" w:hAnsi="Times New Roman" w:cs="Times New Roman"/>
          <w:sz w:val="24"/>
          <w:szCs w:val="24"/>
          <w:lang w:val="en-GB"/>
        </w:rPr>
        <w:t>. In L. Calmfors and N. S</w:t>
      </w:r>
      <w:r w:rsidR="00D1288E">
        <w:rPr>
          <w:rFonts w:ascii="Times New Roman" w:hAnsi="Times New Roman" w:cs="Times New Roman"/>
          <w:sz w:val="24"/>
          <w:szCs w:val="24"/>
          <w:lang w:val="en-GB"/>
        </w:rPr>
        <w:t>ánchez Gassen (Eds.)</w:t>
      </w:r>
      <w:r w:rsidR="00267A2F">
        <w:rPr>
          <w:rFonts w:ascii="Times New Roman" w:hAnsi="Times New Roman" w:cs="Times New Roman"/>
          <w:sz w:val="24"/>
          <w:szCs w:val="24"/>
          <w:lang w:val="en-GB"/>
        </w:rPr>
        <w:t xml:space="preserve">, </w:t>
      </w:r>
      <w:r w:rsidR="00267A2F">
        <w:rPr>
          <w:rFonts w:ascii="Times New Roman" w:hAnsi="Times New Roman" w:cs="Times New Roman"/>
          <w:i/>
          <w:iCs/>
          <w:sz w:val="24"/>
          <w:szCs w:val="24"/>
          <w:lang w:val="en-GB"/>
        </w:rPr>
        <w:t>Economic Policy beyond the Pandemic in the Nordic Countries</w:t>
      </w:r>
      <w:r w:rsidR="0036796E">
        <w:rPr>
          <w:rFonts w:ascii="Times New Roman" w:hAnsi="Times New Roman" w:cs="Times New Roman"/>
          <w:i/>
          <w:iCs/>
          <w:sz w:val="24"/>
          <w:szCs w:val="24"/>
          <w:lang w:val="en-GB"/>
        </w:rPr>
        <w:t xml:space="preserve">. </w:t>
      </w:r>
      <w:r w:rsidR="0036796E">
        <w:rPr>
          <w:rFonts w:ascii="Times New Roman" w:hAnsi="Times New Roman" w:cs="Times New Roman"/>
          <w:sz w:val="24"/>
          <w:szCs w:val="24"/>
          <w:lang w:val="en-GB"/>
        </w:rPr>
        <w:t>Stockholm: Nordregio.</w:t>
      </w:r>
    </w:p>
    <w:p w14:paraId="6421745D" w14:textId="683607A7" w:rsidR="00FC212B" w:rsidRPr="00294BB8" w:rsidRDefault="00FC212B" w:rsidP="00FC212B">
      <w:pPr>
        <w:rPr>
          <w:rFonts w:ascii="Times New Roman" w:hAnsi="Times New Roman" w:cs="Times New Roman"/>
          <w:sz w:val="24"/>
          <w:szCs w:val="24"/>
        </w:rPr>
      </w:pPr>
      <w:r w:rsidRPr="0018261D">
        <w:rPr>
          <w:rFonts w:ascii="Times New Roman" w:hAnsi="Times New Roman" w:cs="Times New Roman"/>
          <w:sz w:val="24"/>
          <w:szCs w:val="24"/>
          <w:lang w:val="en-GB"/>
        </w:rPr>
        <w:t>Andersen, S</w:t>
      </w:r>
      <w:r w:rsidR="002169C6" w:rsidRPr="0018261D">
        <w:rPr>
          <w:rFonts w:ascii="Times New Roman" w:hAnsi="Times New Roman" w:cs="Times New Roman"/>
          <w:sz w:val="24"/>
          <w:szCs w:val="24"/>
          <w:lang w:val="en-GB"/>
        </w:rPr>
        <w:t>.</w:t>
      </w:r>
      <w:r w:rsidRPr="0018261D">
        <w:rPr>
          <w:rFonts w:ascii="Times New Roman" w:hAnsi="Times New Roman" w:cs="Times New Roman"/>
          <w:sz w:val="24"/>
          <w:szCs w:val="24"/>
          <w:lang w:val="en-GB"/>
        </w:rPr>
        <w:t>K</w:t>
      </w:r>
      <w:r w:rsidR="002169C6" w:rsidRPr="0018261D">
        <w:rPr>
          <w:rFonts w:ascii="Times New Roman" w:hAnsi="Times New Roman" w:cs="Times New Roman"/>
          <w:sz w:val="24"/>
          <w:szCs w:val="24"/>
          <w:lang w:val="en-GB"/>
        </w:rPr>
        <w:t>.</w:t>
      </w:r>
      <w:r w:rsidRPr="0018261D">
        <w:rPr>
          <w:rFonts w:ascii="Times New Roman" w:hAnsi="Times New Roman" w:cs="Times New Roman"/>
          <w:sz w:val="24"/>
          <w:szCs w:val="24"/>
          <w:lang w:val="en-GB"/>
        </w:rPr>
        <w:t>, Ibsen, C</w:t>
      </w:r>
      <w:r w:rsidR="00F0773C" w:rsidRPr="0018261D">
        <w:rPr>
          <w:rFonts w:ascii="Times New Roman" w:hAnsi="Times New Roman" w:cs="Times New Roman"/>
          <w:sz w:val="24"/>
          <w:szCs w:val="24"/>
          <w:lang w:val="en-GB"/>
        </w:rPr>
        <w:t>.</w:t>
      </w:r>
      <w:r w:rsidRPr="0018261D">
        <w:rPr>
          <w:rFonts w:ascii="Times New Roman" w:hAnsi="Times New Roman" w:cs="Times New Roman"/>
          <w:sz w:val="24"/>
          <w:szCs w:val="24"/>
          <w:lang w:val="en-GB"/>
        </w:rPr>
        <w:t>L</w:t>
      </w:r>
      <w:r w:rsidR="00F0773C" w:rsidRPr="0018261D">
        <w:rPr>
          <w:rFonts w:ascii="Times New Roman" w:hAnsi="Times New Roman" w:cs="Times New Roman"/>
          <w:sz w:val="24"/>
          <w:szCs w:val="24"/>
          <w:lang w:val="en-GB"/>
        </w:rPr>
        <w:t>.</w:t>
      </w:r>
      <w:r w:rsidRPr="0018261D">
        <w:rPr>
          <w:rFonts w:ascii="Times New Roman" w:hAnsi="Times New Roman" w:cs="Times New Roman"/>
          <w:sz w:val="24"/>
          <w:szCs w:val="24"/>
          <w:lang w:val="en-GB"/>
        </w:rPr>
        <w:t>, Alsos, K</w:t>
      </w:r>
      <w:r w:rsidR="00F0773C" w:rsidRPr="0018261D">
        <w:rPr>
          <w:rFonts w:ascii="Times New Roman" w:hAnsi="Times New Roman" w:cs="Times New Roman"/>
          <w:sz w:val="24"/>
          <w:szCs w:val="24"/>
          <w:lang w:val="en-GB"/>
        </w:rPr>
        <w:t>.</w:t>
      </w:r>
      <w:r w:rsidRPr="0018261D">
        <w:rPr>
          <w:rFonts w:ascii="Times New Roman" w:hAnsi="Times New Roman" w:cs="Times New Roman"/>
          <w:sz w:val="24"/>
          <w:szCs w:val="24"/>
          <w:lang w:val="en-GB"/>
        </w:rPr>
        <w:t>, Nergaard, K</w:t>
      </w:r>
      <w:r w:rsidR="00F0773C" w:rsidRPr="0018261D">
        <w:rPr>
          <w:rFonts w:ascii="Times New Roman" w:hAnsi="Times New Roman" w:cs="Times New Roman"/>
          <w:sz w:val="24"/>
          <w:szCs w:val="24"/>
          <w:lang w:val="en-GB"/>
        </w:rPr>
        <w:t>.</w:t>
      </w:r>
      <w:r w:rsidRPr="0018261D">
        <w:rPr>
          <w:rFonts w:ascii="Times New Roman" w:hAnsi="Times New Roman" w:cs="Times New Roman"/>
          <w:sz w:val="24"/>
          <w:szCs w:val="24"/>
          <w:lang w:val="en-GB"/>
        </w:rPr>
        <w:t xml:space="preserve"> &amp; Sauramo, P</w:t>
      </w:r>
      <w:r w:rsidR="002014AB" w:rsidRPr="0018261D">
        <w:rPr>
          <w:rFonts w:ascii="Times New Roman" w:hAnsi="Times New Roman" w:cs="Times New Roman"/>
          <w:sz w:val="24"/>
          <w:szCs w:val="24"/>
          <w:lang w:val="en-GB"/>
        </w:rPr>
        <w:t>.</w:t>
      </w:r>
      <w:r w:rsidRPr="0018261D">
        <w:rPr>
          <w:rFonts w:ascii="Times New Roman" w:hAnsi="Times New Roman" w:cs="Times New Roman"/>
          <w:sz w:val="24"/>
          <w:szCs w:val="24"/>
          <w:lang w:val="en-GB"/>
        </w:rPr>
        <w:t xml:space="preserve"> </w:t>
      </w:r>
      <w:r w:rsidR="00801694" w:rsidRPr="0018261D">
        <w:rPr>
          <w:rFonts w:ascii="Times New Roman" w:hAnsi="Times New Roman" w:cs="Times New Roman"/>
          <w:sz w:val="24"/>
          <w:szCs w:val="24"/>
          <w:lang w:val="en-GB"/>
        </w:rPr>
        <w:t>(</w:t>
      </w:r>
      <w:r w:rsidRPr="0018261D">
        <w:rPr>
          <w:rFonts w:ascii="Times New Roman" w:hAnsi="Times New Roman" w:cs="Times New Roman"/>
          <w:sz w:val="24"/>
          <w:szCs w:val="24"/>
          <w:lang w:val="en-GB"/>
        </w:rPr>
        <w:t>2015</w:t>
      </w:r>
      <w:r w:rsidR="00801694" w:rsidRPr="0018261D">
        <w:rPr>
          <w:rFonts w:ascii="Times New Roman" w:hAnsi="Times New Roman" w:cs="Times New Roman"/>
          <w:sz w:val="24"/>
          <w:szCs w:val="24"/>
          <w:lang w:val="en-GB"/>
        </w:rPr>
        <w:t>).</w:t>
      </w:r>
      <w:r w:rsidRPr="0018261D">
        <w:rPr>
          <w:rFonts w:ascii="Times New Roman" w:hAnsi="Times New Roman" w:cs="Times New Roman"/>
          <w:sz w:val="24"/>
          <w:szCs w:val="24"/>
          <w:lang w:val="en-GB"/>
        </w:rPr>
        <w:t xml:space="preserve"> </w:t>
      </w:r>
      <w:r w:rsidRPr="00700738">
        <w:rPr>
          <w:rStyle w:val="harvardtitle"/>
          <w:rFonts w:ascii="Times New Roman" w:hAnsi="Times New Roman" w:cs="Times New Roman"/>
          <w:sz w:val="24"/>
          <w:szCs w:val="24"/>
          <w:lang w:val="en-GB"/>
        </w:rPr>
        <w:t xml:space="preserve">Changes in </w:t>
      </w:r>
      <w:r w:rsidR="00801694" w:rsidRPr="00700738">
        <w:rPr>
          <w:rStyle w:val="harvardtitle"/>
          <w:rFonts w:ascii="Times New Roman" w:hAnsi="Times New Roman" w:cs="Times New Roman"/>
          <w:sz w:val="24"/>
          <w:szCs w:val="24"/>
          <w:lang w:val="en-GB"/>
        </w:rPr>
        <w:t>W</w:t>
      </w:r>
      <w:r w:rsidRPr="00700738">
        <w:rPr>
          <w:rStyle w:val="harvardtitle"/>
          <w:rFonts w:ascii="Times New Roman" w:hAnsi="Times New Roman" w:cs="Times New Roman"/>
          <w:sz w:val="24"/>
          <w:szCs w:val="24"/>
          <w:lang w:val="en-GB"/>
        </w:rPr>
        <w:t xml:space="preserve">age </w:t>
      </w:r>
      <w:r w:rsidR="00801694" w:rsidRPr="00700738">
        <w:rPr>
          <w:rStyle w:val="harvardtitle"/>
          <w:rFonts w:ascii="Times New Roman" w:hAnsi="Times New Roman" w:cs="Times New Roman"/>
          <w:sz w:val="24"/>
          <w:szCs w:val="24"/>
          <w:lang w:val="en-GB"/>
        </w:rPr>
        <w:t>P</w:t>
      </w:r>
      <w:r w:rsidRPr="00700738">
        <w:rPr>
          <w:rStyle w:val="harvardtitle"/>
          <w:rFonts w:ascii="Times New Roman" w:hAnsi="Times New Roman" w:cs="Times New Roman"/>
          <w:sz w:val="24"/>
          <w:szCs w:val="24"/>
          <w:lang w:val="en-GB"/>
        </w:rPr>
        <w:t xml:space="preserve">olicy and </w:t>
      </w:r>
      <w:r w:rsidR="00801694" w:rsidRPr="00700738">
        <w:rPr>
          <w:rStyle w:val="harvardtitle"/>
          <w:rFonts w:ascii="Times New Roman" w:hAnsi="Times New Roman" w:cs="Times New Roman"/>
          <w:sz w:val="24"/>
          <w:szCs w:val="24"/>
          <w:lang w:val="en-GB"/>
        </w:rPr>
        <w:t>C</w:t>
      </w:r>
      <w:r w:rsidRPr="00700738">
        <w:rPr>
          <w:rStyle w:val="harvardtitle"/>
          <w:rFonts w:ascii="Times New Roman" w:hAnsi="Times New Roman" w:cs="Times New Roman"/>
          <w:sz w:val="24"/>
          <w:szCs w:val="24"/>
          <w:lang w:val="en-GB"/>
        </w:rPr>
        <w:t xml:space="preserve">ollective </w:t>
      </w:r>
      <w:r w:rsidR="00801694" w:rsidRPr="00700738">
        <w:rPr>
          <w:rStyle w:val="harvardtitle"/>
          <w:rFonts w:ascii="Times New Roman" w:hAnsi="Times New Roman" w:cs="Times New Roman"/>
          <w:sz w:val="24"/>
          <w:szCs w:val="24"/>
          <w:lang w:val="en-GB"/>
        </w:rPr>
        <w:t>B</w:t>
      </w:r>
      <w:r w:rsidRPr="00700738">
        <w:rPr>
          <w:rStyle w:val="harvardtitle"/>
          <w:rFonts w:ascii="Times New Roman" w:hAnsi="Times New Roman" w:cs="Times New Roman"/>
          <w:sz w:val="24"/>
          <w:szCs w:val="24"/>
          <w:lang w:val="en-GB"/>
        </w:rPr>
        <w:t xml:space="preserve">argaining in the Nordic </w:t>
      </w:r>
      <w:r w:rsidR="00801694" w:rsidRPr="00700738">
        <w:rPr>
          <w:rStyle w:val="harvardtitle"/>
          <w:rFonts w:ascii="Times New Roman" w:hAnsi="Times New Roman" w:cs="Times New Roman"/>
          <w:sz w:val="24"/>
          <w:szCs w:val="24"/>
          <w:lang w:val="en-GB"/>
        </w:rPr>
        <w:t>C</w:t>
      </w:r>
      <w:r w:rsidRPr="00700738">
        <w:rPr>
          <w:rStyle w:val="harvardtitle"/>
          <w:rFonts w:ascii="Times New Roman" w:hAnsi="Times New Roman" w:cs="Times New Roman"/>
          <w:sz w:val="24"/>
          <w:szCs w:val="24"/>
          <w:lang w:val="en-GB"/>
        </w:rPr>
        <w:t>ountries: Comparison of Denmark, Finland, Norway and Sweden</w:t>
      </w:r>
      <w:r w:rsidRPr="00700738">
        <w:rPr>
          <w:rFonts w:ascii="Times New Roman" w:hAnsi="Times New Roman" w:cs="Times New Roman"/>
          <w:sz w:val="24"/>
          <w:szCs w:val="24"/>
          <w:lang w:val="en-GB"/>
        </w:rPr>
        <w:t xml:space="preserve">. </w:t>
      </w:r>
      <w:r w:rsidR="000C1667" w:rsidRPr="00700738">
        <w:rPr>
          <w:rFonts w:ascii="Times New Roman" w:hAnsi="Times New Roman" w:cs="Times New Roman"/>
          <w:sz w:val="24"/>
          <w:szCs w:val="24"/>
          <w:lang w:val="en-GB"/>
        </w:rPr>
        <w:t>I</w:t>
      </w:r>
      <w:r w:rsidRPr="00700738">
        <w:rPr>
          <w:rFonts w:ascii="Times New Roman" w:hAnsi="Times New Roman" w:cs="Times New Roman"/>
          <w:sz w:val="24"/>
          <w:szCs w:val="24"/>
          <w:lang w:val="en-GB"/>
        </w:rPr>
        <w:t>n G</w:t>
      </w:r>
      <w:r w:rsidR="000E7341" w:rsidRPr="00700738">
        <w:rPr>
          <w:rFonts w:ascii="Times New Roman" w:hAnsi="Times New Roman" w:cs="Times New Roman"/>
          <w:sz w:val="24"/>
          <w:szCs w:val="24"/>
          <w:lang w:val="en-GB"/>
        </w:rPr>
        <w:t>.</w:t>
      </w:r>
      <w:r w:rsidRPr="00700738">
        <w:rPr>
          <w:rFonts w:ascii="Times New Roman" w:hAnsi="Times New Roman" w:cs="Times New Roman"/>
          <w:sz w:val="24"/>
          <w:szCs w:val="24"/>
          <w:lang w:val="en-GB"/>
        </w:rPr>
        <w:t xml:space="preserve"> van Gyes &amp; T</w:t>
      </w:r>
      <w:r w:rsidR="005B4404" w:rsidRPr="00700738">
        <w:rPr>
          <w:rFonts w:ascii="Times New Roman" w:hAnsi="Times New Roman" w:cs="Times New Roman"/>
          <w:sz w:val="24"/>
          <w:szCs w:val="24"/>
          <w:lang w:val="en-GB"/>
        </w:rPr>
        <w:t>.</w:t>
      </w:r>
      <w:r w:rsidRPr="00700738">
        <w:rPr>
          <w:rFonts w:ascii="Times New Roman" w:hAnsi="Times New Roman" w:cs="Times New Roman"/>
          <w:sz w:val="24"/>
          <w:szCs w:val="24"/>
          <w:lang w:val="en-GB"/>
        </w:rPr>
        <w:t xml:space="preserve"> Schulten (</w:t>
      </w:r>
      <w:r w:rsidR="005B4404" w:rsidRPr="00700738">
        <w:rPr>
          <w:rFonts w:ascii="Times New Roman" w:hAnsi="Times New Roman" w:cs="Times New Roman"/>
          <w:sz w:val="24"/>
          <w:szCs w:val="24"/>
          <w:lang w:val="en-GB"/>
        </w:rPr>
        <w:t>E</w:t>
      </w:r>
      <w:r w:rsidRPr="00700738">
        <w:rPr>
          <w:rFonts w:ascii="Times New Roman" w:hAnsi="Times New Roman" w:cs="Times New Roman"/>
          <w:sz w:val="24"/>
          <w:szCs w:val="24"/>
          <w:lang w:val="en-GB"/>
        </w:rPr>
        <w:t xml:space="preserve">ds), </w:t>
      </w:r>
      <w:r w:rsidRPr="00700738">
        <w:rPr>
          <w:rStyle w:val="Emphasis"/>
          <w:rFonts w:ascii="Times New Roman" w:hAnsi="Times New Roman" w:cs="Times New Roman"/>
          <w:sz w:val="24"/>
          <w:szCs w:val="24"/>
          <w:lang w:val="en-GB"/>
        </w:rPr>
        <w:t xml:space="preserve">Wage </w:t>
      </w:r>
      <w:r w:rsidR="000E7341" w:rsidRPr="00700738">
        <w:rPr>
          <w:rStyle w:val="Emphasis"/>
          <w:rFonts w:ascii="Times New Roman" w:hAnsi="Times New Roman" w:cs="Times New Roman"/>
          <w:sz w:val="24"/>
          <w:szCs w:val="24"/>
          <w:lang w:val="en-GB"/>
        </w:rPr>
        <w:t>B</w:t>
      </w:r>
      <w:r w:rsidRPr="00700738">
        <w:rPr>
          <w:rStyle w:val="Emphasis"/>
          <w:rFonts w:ascii="Times New Roman" w:hAnsi="Times New Roman" w:cs="Times New Roman"/>
          <w:sz w:val="24"/>
          <w:szCs w:val="24"/>
          <w:lang w:val="en-GB"/>
        </w:rPr>
        <w:t xml:space="preserve">argaining under the </w:t>
      </w:r>
      <w:r w:rsidR="000E7341" w:rsidRPr="00700738">
        <w:rPr>
          <w:rStyle w:val="Emphasis"/>
          <w:rFonts w:ascii="Times New Roman" w:hAnsi="Times New Roman" w:cs="Times New Roman"/>
          <w:sz w:val="24"/>
          <w:szCs w:val="24"/>
          <w:lang w:val="en-GB"/>
        </w:rPr>
        <w:t>N</w:t>
      </w:r>
      <w:r w:rsidRPr="00700738">
        <w:rPr>
          <w:rStyle w:val="Emphasis"/>
          <w:rFonts w:ascii="Times New Roman" w:hAnsi="Times New Roman" w:cs="Times New Roman"/>
          <w:sz w:val="24"/>
          <w:szCs w:val="24"/>
          <w:lang w:val="en-GB"/>
        </w:rPr>
        <w:t>ew European Economic Governance</w:t>
      </w:r>
      <w:r w:rsidR="00773D1C" w:rsidRPr="00700738">
        <w:rPr>
          <w:rStyle w:val="Emphasis"/>
          <w:rFonts w:ascii="Times New Roman" w:hAnsi="Times New Roman" w:cs="Times New Roman"/>
          <w:sz w:val="24"/>
          <w:szCs w:val="24"/>
          <w:lang w:val="en-GB"/>
        </w:rPr>
        <w:t xml:space="preserve"> </w:t>
      </w:r>
      <w:r w:rsidR="00700738" w:rsidRPr="00700738">
        <w:rPr>
          <w:rFonts w:ascii="Times New Roman" w:hAnsi="Times New Roman" w:cs="Times New Roman"/>
          <w:sz w:val="24"/>
          <w:szCs w:val="24"/>
          <w:lang w:val="en-GB"/>
        </w:rPr>
        <w:t xml:space="preserve">(pp. 139-168). </w:t>
      </w:r>
      <w:r w:rsidR="00700738" w:rsidRPr="00294BB8">
        <w:rPr>
          <w:rFonts w:ascii="Times New Roman" w:hAnsi="Times New Roman" w:cs="Times New Roman"/>
          <w:sz w:val="24"/>
          <w:szCs w:val="24"/>
        </w:rPr>
        <w:t xml:space="preserve">Brussels: </w:t>
      </w:r>
      <w:r w:rsidR="009F1412" w:rsidRPr="00294BB8">
        <w:rPr>
          <w:rFonts w:ascii="Times New Roman" w:hAnsi="Times New Roman" w:cs="Times New Roman"/>
          <w:sz w:val="24"/>
          <w:szCs w:val="24"/>
        </w:rPr>
        <w:t>ETUI.</w:t>
      </w:r>
      <w:r w:rsidR="00EC05FC" w:rsidRPr="00294BB8">
        <w:rPr>
          <w:rFonts w:ascii="Times New Roman" w:hAnsi="Times New Roman" w:cs="Times New Roman"/>
          <w:sz w:val="24"/>
          <w:szCs w:val="24"/>
        </w:rPr>
        <w:t xml:space="preserve"> </w:t>
      </w:r>
    </w:p>
    <w:p w14:paraId="716231F6" w14:textId="1FCAAE6D" w:rsidR="00E53094" w:rsidRPr="0025336C" w:rsidRDefault="00E53094" w:rsidP="00FC212B">
      <w:pPr>
        <w:rPr>
          <w:rFonts w:ascii="Times New Roman" w:hAnsi="Times New Roman" w:cs="Times New Roman"/>
          <w:sz w:val="24"/>
          <w:szCs w:val="24"/>
        </w:rPr>
      </w:pPr>
      <w:r w:rsidRPr="00E53094">
        <w:rPr>
          <w:rFonts w:ascii="Times New Roman" w:hAnsi="Times New Roman" w:cs="Times New Roman"/>
          <w:sz w:val="24"/>
          <w:szCs w:val="24"/>
        </w:rPr>
        <w:t>Arbets- och n</w:t>
      </w:r>
      <w:r>
        <w:rPr>
          <w:rFonts w:ascii="Times New Roman" w:hAnsi="Times New Roman" w:cs="Times New Roman"/>
          <w:sz w:val="24"/>
          <w:szCs w:val="24"/>
        </w:rPr>
        <w:t>äringsministeriet (2024)</w:t>
      </w:r>
      <w:r w:rsidR="00CC4BDC">
        <w:rPr>
          <w:rFonts w:ascii="Times New Roman" w:hAnsi="Times New Roman" w:cs="Times New Roman"/>
          <w:sz w:val="24"/>
          <w:szCs w:val="24"/>
        </w:rPr>
        <w:t>.</w:t>
      </w:r>
      <w:r w:rsidR="00735576">
        <w:rPr>
          <w:rFonts w:ascii="Times New Roman" w:hAnsi="Times New Roman" w:cs="Times New Roman"/>
          <w:sz w:val="24"/>
          <w:szCs w:val="24"/>
        </w:rPr>
        <w:t xml:space="preserve"> </w:t>
      </w:r>
      <w:r w:rsidR="00735576" w:rsidRPr="00CC4BDC">
        <w:rPr>
          <w:rFonts w:ascii="Times New Roman" w:hAnsi="Times New Roman" w:cs="Times New Roman"/>
          <w:i/>
          <w:iCs/>
          <w:sz w:val="24"/>
          <w:szCs w:val="24"/>
        </w:rPr>
        <w:t>Den trepar</w:t>
      </w:r>
      <w:r w:rsidR="004F23C3">
        <w:rPr>
          <w:rFonts w:ascii="Times New Roman" w:hAnsi="Times New Roman" w:cs="Times New Roman"/>
          <w:i/>
          <w:iCs/>
          <w:sz w:val="24"/>
          <w:szCs w:val="24"/>
        </w:rPr>
        <w:t>t</w:t>
      </w:r>
      <w:r w:rsidR="00735576" w:rsidRPr="00CC4BDC">
        <w:rPr>
          <w:rFonts w:ascii="Times New Roman" w:hAnsi="Times New Roman" w:cs="Times New Roman"/>
          <w:i/>
          <w:iCs/>
          <w:sz w:val="24"/>
          <w:szCs w:val="24"/>
        </w:rPr>
        <w:t>sarbetsgrupp som bereder arbetsmarknadsmodellen har inlett sitt arbete</w:t>
      </w:r>
      <w:r w:rsidR="00CC4BDC">
        <w:rPr>
          <w:rFonts w:ascii="Times New Roman" w:hAnsi="Times New Roman" w:cs="Times New Roman"/>
          <w:sz w:val="24"/>
          <w:szCs w:val="24"/>
        </w:rPr>
        <w:t xml:space="preserve">. </w:t>
      </w:r>
      <w:r w:rsidR="00CC4BDC" w:rsidRPr="0025336C">
        <w:rPr>
          <w:rFonts w:ascii="Times New Roman" w:hAnsi="Times New Roman" w:cs="Times New Roman"/>
          <w:sz w:val="24"/>
          <w:szCs w:val="24"/>
        </w:rPr>
        <w:t xml:space="preserve">Pressmeddelande, 12 </w:t>
      </w:r>
      <w:r w:rsidR="00AA5ECB" w:rsidRPr="0025336C">
        <w:rPr>
          <w:rFonts w:ascii="Times New Roman" w:hAnsi="Times New Roman" w:cs="Times New Roman"/>
          <w:sz w:val="24"/>
          <w:szCs w:val="24"/>
        </w:rPr>
        <w:t>February</w:t>
      </w:r>
      <w:r w:rsidR="00CC4BDC" w:rsidRPr="0025336C">
        <w:rPr>
          <w:rFonts w:ascii="Times New Roman" w:hAnsi="Times New Roman" w:cs="Times New Roman"/>
          <w:sz w:val="24"/>
          <w:szCs w:val="24"/>
        </w:rPr>
        <w:t>. Helsingfors.</w:t>
      </w:r>
    </w:p>
    <w:p w14:paraId="2C69B3D7" w14:textId="0BC04060" w:rsidR="00504FAB" w:rsidRPr="00A44C9A" w:rsidRDefault="00504FAB" w:rsidP="00FC212B">
      <w:pPr>
        <w:rPr>
          <w:rFonts w:ascii="Times New Roman" w:hAnsi="Times New Roman" w:cs="Times New Roman"/>
          <w:sz w:val="24"/>
          <w:szCs w:val="24"/>
        </w:rPr>
      </w:pPr>
      <w:r w:rsidRPr="00504FAB">
        <w:rPr>
          <w:rFonts w:ascii="Times New Roman" w:hAnsi="Times New Roman" w:cs="Times New Roman"/>
          <w:sz w:val="24"/>
          <w:szCs w:val="24"/>
        </w:rPr>
        <w:t xml:space="preserve">Arbetsmarknadsekonomiska rådet (2017). </w:t>
      </w:r>
      <w:r w:rsidRPr="00504FAB">
        <w:rPr>
          <w:rFonts w:ascii="Times New Roman" w:hAnsi="Times New Roman" w:cs="Times New Roman"/>
          <w:i/>
          <w:iCs/>
          <w:sz w:val="24"/>
          <w:szCs w:val="24"/>
        </w:rPr>
        <w:t>Tudelningarna på a</w:t>
      </w:r>
      <w:r>
        <w:rPr>
          <w:rFonts w:ascii="Times New Roman" w:hAnsi="Times New Roman" w:cs="Times New Roman"/>
          <w:i/>
          <w:iCs/>
          <w:sz w:val="24"/>
          <w:szCs w:val="24"/>
        </w:rPr>
        <w:t>rbetsmarknaden</w:t>
      </w:r>
      <w:r w:rsidR="00A44C9A">
        <w:rPr>
          <w:rFonts w:ascii="Times New Roman" w:hAnsi="Times New Roman" w:cs="Times New Roman"/>
          <w:sz w:val="24"/>
          <w:szCs w:val="24"/>
        </w:rPr>
        <w:t>. Stockholom.</w:t>
      </w:r>
    </w:p>
    <w:p w14:paraId="0E6711A0" w14:textId="2FA872E9" w:rsidR="004130FE" w:rsidRDefault="004130FE" w:rsidP="00FC212B">
      <w:pPr>
        <w:rPr>
          <w:rFonts w:ascii="Times New Roman" w:hAnsi="Times New Roman" w:cs="Times New Roman"/>
          <w:sz w:val="24"/>
          <w:szCs w:val="24"/>
          <w:lang w:val="en-GB"/>
        </w:rPr>
      </w:pPr>
      <w:r w:rsidRPr="0025336C">
        <w:rPr>
          <w:rFonts w:ascii="Times New Roman" w:hAnsi="Times New Roman" w:cs="Times New Roman"/>
          <w:sz w:val="24"/>
          <w:szCs w:val="24"/>
        </w:rPr>
        <w:t>Aukrust, O.</w:t>
      </w:r>
      <w:r w:rsidR="00C941B6" w:rsidRPr="0025336C">
        <w:rPr>
          <w:rFonts w:ascii="Times New Roman" w:hAnsi="Times New Roman" w:cs="Times New Roman"/>
          <w:sz w:val="24"/>
          <w:szCs w:val="24"/>
        </w:rPr>
        <w:t xml:space="preserve"> (1977).</w:t>
      </w:r>
      <w:r w:rsidR="00711067" w:rsidRPr="0025336C">
        <w:rPr>
          <w:rFonts w:ascii="Times New Roman" w:hAnsi="Times New Roman" w:cs="Times New Roman"/>
          <w:sz w:val="24"/>
          <w:szCs w:val="24"/>
        </w:rPr>
        <w:t xml:space="preserve"> </w:t>
      </w:r>
      <w:r w:rsidR="00711067" w:rsidRPr="00711067">
        <w:rPr>
          <w:rFonts w:ascii="Times New Roman" w:hAnsi="Times New Roman" w:cs="Times New Roman"/>
          <w:sz w:val="24"/>
          <w:szCs w:val="24"/>
          <w:lang w:val="en-GB"/>
        </w:rPr>
        <w:t>Inflation in the Open E</w:t>
      </w:r>
      <w:r w:rsidR="00711067">
        <w:rPr>
          <w:rFonts w:ascii="Times New Roman" w:hAnsi="Times New Roman" w:cs="Times New Roman"/>
          <w:sz w:val="24"/>
          <w:szCs w:val="24"/>
          <w:lang w:val="en-GB"/>
        </w:rPr>
        <w:t>conomy: A Norwegian Model</w:t>
      </w:r>
      <w:r w:rsidR="004D7A61">
        <w:rPr>
          <w:rFonts w:ascii="Times New Roman" w:hAnsi="Times New Roman" w:cs="Times New Roman"/>
          <w:sz w:val="24"/>
          <w:szCs w:val="24"/>
          <w:lang w:val="en-GB"/>
        </w:rPr>
        <w:t>. In L.B. Krause &amp;             W.S. Salant</w:t>
      </w:r>
      <w:r w:rsidR="008538F7">
        <w:rPr>
          <w:rFonts w:ascii="Times New Roman" w:hAnsi="Times New Roman" w:cs="Times New Roman"/>
          <w:sz w:val="24"/>
          <w:szCs w:val="24"/>
          <w:lang w:val="en-GB"/>
        </w:rPr>
        <w:t xml:space="preserve"> (Eds), </w:t>
      </w:r>
      <w:r w:rsidR="008538F7">
        <w:rPr>
          <w:rFonts w:ascii="Times New Roman" w:hAnsi="Times New Roman" w:cs="Times New Roman"/>
          <w:i/>
          <w:iCs/>
          <w:sz w:val="24"/>
          <w:szCs w:val="24"/>
          <w:lang w:val="en-GB"/>
        </w:rPr>
        <w:t>Worldwide Inflation</w:t>
      </w:r>
      <w:r w:rsidR="004C6E6C">
        <w:rPr>
          <w:rFonts w:ascii="Times New Roman" w:hAnsi="Times New Roman" w:cs="Times New Roman"/>
          <w:i/>
          <w:iCs/>
          <w:sz w:val="24"/>
          <w:szCs w:val="24"/>
          <w:lang w:val="en-GB"/>
        </w:rPr>
        <w:t xml:space="preserve">. </w:t>
      </w:r>
      <w:r w:rsidR="004C6E6C">
        <w:rPr>
          <w:rFonts w:ascii="Times New Roman" w:hAnsi="Times New Roman" w:cs="Times New Roman"/>
          <w:sz w:val="24"/>
          <w:szCs w:val="24"/>
          <w:lang w:val="en-GB"/>
        </w:rPr>
        <w:t>Washington: Brookings Institution.</w:t>
      </w:r>
    </w:p>
    <w:p w14:paraId="06A20E38" w14:textId="1C82EF12" w:rsidR="003B3D41" w:rsidRPr="009D3F64" w:rsidRDefault="003B3D41" w:rsidP="00FC212B">
      <w:pPr>
        <w:rPr>
          <w:rFonts w:ascii="Times New Roman" w:hAnsi="Times New Roman" w:cs="Times New Roman"/>
          <w:sz w:val="24"/>
          <w:szCs w:val="24"/>
          <w:lang w:val="en-GB"/>
        </w:rPr>
      </w:pPr>
      <w:r w:rsidRPr="0056234F">
        <w:rPr>
          <w:rFonts w:ascii="Times New Roman" w:hAnsi="Times New Roman" w:cs="Times New Roman"/>
          <w:sz w:val="24"/>
          <w:szCs w:val="24"/>
          <w:lang w:val="en-GB"/>
        </w:rPr>
        <w:t>Barth</w:t>
      </w:r>
      <w:r w:rsidR="00BF43EC" w:rsidRPr="0056234F">
        <w:rPr>
          <w:rFonts w:ascii="Times New Roman" w:hAnsi="Times New Roman" w:cs="Times New Roman"/>
          <w:sz w:val="24"/>
          <w:szCs w:val="24"/>
          <w:lang w:val="en-GB"/>
        </w:rPr>
        <w:t xml:space="preserve">, E., Finseraas, H., Kjelsrud, A. &amp; Moene, K.O. (2023). </w:t>
      </w:r>
      <w:r w:rsidR="00BF43EC" w:rsidRPr="00BF43EC">
        <w:rPr>
          <w:rFonts w:ascii="Times New Roman" w:hAnsi="Times New Roman" w:cs="Times New Roman"/>
          <w:sz w:val="24"/>
          <w:szCs w:val="24"/>
          <w:lang w:val="en-GB"/>
        </w:rPr>
        <w:t>Hit by t</w:t>
      </w:r>
      <w:r w:rsidR="00BF43EC">
        <w:rPr>
          <w:rFonts w:ascii="Times New Roman" w:hAnsi="Times New Roman" w:cs="Times New Roman"/>
          <w:sz w:val="24"/>
          <w:szCs w:val="24"/>
          <w:lang w:val="en-GB"/>
        </w:rPr>
        <w:t>he Sil</w:t>
      </w:r>
      <w:r w:rsidR="00D357A3">
        <w:rPr>
          <w:rFonts w:ascii="Times New Roman" w:hAnsi="Times New Roman" w:cs="Times New Roman"/>
          <w:sz w:val="24"/>
          <w:szCs w:val="24"/>
          <w:lang w:val="en-GB"/>
        </w:rPr>
        <w:t>k</w:t>
      </w:r>
      <w:r w:rsidR="00BF43EC">
        <w:rPr>
          <w:rFonts w:ascii="Times New Roman" w:hAnsi="Times New Roman" w:cs="Times New Roman"/>
          <w:sz w:val="24"/>
          <w:szCs w:val="24"/>
          <w:lang w:val="en-GB"/>
        </w:rPr>
        <w:t xml:space="preserve"> Road: How Wage Coordination </w:t>
      </w:r>
      <w:r w:rsidR="008769D5">
        <w:rPr>
          <w:rFonts w:ascii="Times New Roman" w:hAnsi="Times New Roman" w:cs="Times New Roman"/>
          <w:sz w:val="24"/>
          <w:szCs w:val="24"/>
          <w:lang w:val="en-GB"/>
        </w:rPr>
        <w:t xml:space="preserve">in Europe Mitigates the China Shock, </w:t>
      </w:r>
      <w:r w:rsidR="008769D5">
        <w:rPr>
          <w:rFonts w:ascii="Times New Roman" w:hAnsi="Times New Roman" w:cs="Times New Roman"/>
          <w:i/>
          <w:iCs/>
          <w:sz w:val="24"/>
          <w:szCs w:val="24"/>
          <w:lang w:val="en-GB"/>
        </w:rPr>
        <w:t>Scandinavian Journal of Economics</w:t>
      </w:r>
      <w:r w:rsidR="009D3F64">
        <w:rPr>
          <w:rFonts w:ascii="Times New Roman" w:hAnsi="Times New Roman" w:cs="Times New Roman"/>
          <w:sz w:val="24"/>
          <w:szCs w:val="24"/>
          <w:lang w:val="en-GB"/>
        </w:rPr>
        <w:t xml:space="preserve">, 125(1), </w:t>
      </w:r>
      <w:r w:rsidR="00D357A3">
        <w:rPr>
          <w:rFonts w:ascii="Times New Roman" w:hAnsi="Times New Roman" w:cs="Times New Roman"/>
          <w:sz w:val="24"/>
          <w:szCs w:val="24"/>
          <w:lang w:val="en-GB"/>
        </w:rPr>
        <w:t>32-72.</w:t>
      </w:r>
    </w:p>
    <w:p w14:paraId="4DDBAE21" w14:textId="05462B85" w:rsidR="00B829D9" w:rsidRDefault="00B829D9" w:rsidP="00FC212B">
      <w:pPr>
        <w:rPr>
          <w:rFonts w:ascii="Times New Roman" w:hAnsi="Times New Roman" w:cs="Times New Roman"/>
          <w:sz w:val="24"/>
          <w:szCs w:val="24"/>
          <w:lang w:val="en-GB"/>
        </w:rPr>
      </w:pPr>
      <w:r w:rsidRPr="00D87E9D">
        <w:rPr>
          <w:rFonts w:ascii="Times New Roman" w:hAnsi="Times New Roman" w:cs="Times New Roman"/>
          <w:sz w:val="24"/>
          <w:szCs w:val="24"/>
          <w:lang w:val="en-GB"/>
        </w:rPr>
        <w:t xml:space="preserve">Bender, G. (2024). </w:t>
      </w:r>
      <w:r w:rsidR="000D195F">
        <w:rPr>
          <w:rFonts w:ascii="Times New Roman" w:hAnsi="Times New Roman" w:cs="Times New Roman"/>
          <w:i/>
          <w:iCs/>
          <w:sz w:val="24"/>
          <w:szCs w:val="24"/>
          <w:lang w:val="en-GB"/>
        </w:rPr>
        <w:t>Organizing the Labor Market</w:t>
      </w:r>
      <w:r w:rsidR="00931CF5">
        <w:rPr>
          <w:rFonts w:ascii="Times New Roman" w:hAnsi="Times New Roman" w:cs="Times New Roman"/>
          <w:sz w:val="24"/>
          <w:szCs w:val="24"/>
          <w:lang w:val="en-GB"/>
        </w:rPr>
        <w:t>. Doctoral dissertation</w:t>
      </w:r>
      <w:r w:rsidR="00584756">
        <w:rPr>
          <w:rFonts w:ascii="Times New Roman" w:hAnsi="Times New Roman" w:cs="Times New Roman"/>
          <w:sz w:val="24"/>
          <w:szCs w:val="24"/>
          <w:lang w:val="en-GB"/>
        </w:rPr>
        <w:t>. Stockholm School of Economics.</w:t>
      </w:r>
    </w:p>
    <w:p w14:paraId="320BF4D6" w14:textId="3E679340" w:rsidR="00AB0B09" w:rsidRPr="009C16A9" w:rsidRDefault="00AB0B09" w:rsidP="00FC212B">
      <w:pPr>
        <w:rPr>
          <w:rFonts w:ascii="Times New Roman" w:hAnsi="Times New Roman" w:cs="Times New Roman"/>
          <w:sz w:val="24"/>
          <w:szCs w:val="24"/>
          <w:lang w:val="en-GB"/>
        </w:rPr>
      </w:pPr>
      <w:r w:rsidRPr="00AB0B09">
        <w:rPr>
          <w:rFonts w:ascii="Times New Roman" w:hAnsi="Times New Roman" w:cs="Times New Roman"/>
          <w:sz w:val="24"/>
          <w:szCs w:val="24"/>
        </w:rPr>
        <w:t>Bhuller, M., Moene, K.O., Mo</w:t>
      </w:r>
      <w:r>
        <w:rPr>
          <w:rFonts w:ascii="Times New Roman" w:hAnsi="Times New Roman" w:cs="Times New Roman"/>
          <w:sz w:val="24"/>
          <w:szCs w:val="24"/>
        </w:rPr>
        <w:t>gstad, M.</w:t>
      </w:r>
      <w:r w:rsidR="004A1121">
        <w:rPr>
          <w:rFonts w:ascii="Times New Roman" w:hAnsi="Times New Roman" w:cs="Times New Roman"/>
          <w:sz w:val="24"/>
          <w:szCs w:val="24"/>
        </w:rPr>
        <w:t xml:space="preserve"> &amp; Vestad, O.L. (2022). </w:t>
      </w:r>
      <w:r w:rsidR="004A1121" w:rsidRPr="004A1121">
        <w:rPr>
          <w:rFonts w:ascii="Times New Roman" w:hAnsi="Times New Roman" w:cs="Times New Roman"/>
          <w:sz w:val="24"/>
          <w:szCs w:val="24"/>
          <w:lang w:val="en-GB"/>
        </w:rPr>
        <w:t>Facts and F</w:t>
      </w:r>
      <w:r w:rsidR="004A1121">
        <w:rPr>
          <w:rFonts w:ascii="Times New Roman" w:hAnsi="Times New Roman" w:cs="Times New Roman"/>
          <w:sz w:val="24"/>
          <w:szCs w:val="24"/>
          <w:lang w:val="en-GB"/>
        </w:rPr>
        <w:t>antasies about Wage Setting and Collective Bargaining</w:t>
      </w:r>
      <w:r w:rsidR="009C16A9">
        <w:rPr>
          <w:rFonts w:ascii="Times New Roman" w:hAnsi="Times New Roman" w:cs="Times New Roman"/>
          <w:sz w:val="24"/>
          <w:szCs w:val="24"/>
          <w:lang w:val="en-GB"/>
        </w:rPr>
        <w:t xml:space="preserve">, </w:t>
      </w:r>
      <w:r w:rsidR="009C16A9">
        <w:rPr>
          <w:rFonts w:ascii="Times New Roman" w:hAnsi="Times New Roman" w:cs="Times New Roman"/>
          <w:i/>
          <w:iCs/>
          <w:sz w:val="24"/>
          <w:szCs w:val="24"/>
          <w:lang w:val="en-GB"/>
        </w:rPr>
        <w:t>Journal of Economic Perspectives</w:t>
      </w:r>
      <w:r w:rsidR="009C16A9">
        <w:rPr>
          <w:rFonts w:ascii="Times New Roman" w:hAnsi="Times New Roman" w:cs="Times New Roman"/>
          <w:sz w:val="24"/>
          <w:szCs w:val="24"/>
          <w:lang w:val="en-GB"/>
        </w:rPr>
        <w:t>, 36(4)</w:t>
      </w:r>
      <w:r w:rsidR="004F4F29">
        <w:rPr>
          <w:rFonts w:ascii="Times New Roman" w:hAnsi="Times New Roman" w:cs="Times New Roman"/>
          <w:sz w:val="24"/>
          <w:szCs w:val="24"/>
          <w:lang w:val="en-GB"/>
        </w:rPr>
        <w:t>, 29-52.</w:t>
      </w:r>
    </w:p>
    <w:p w14:paraId="34EAA212" w14:textId="65AC2CB3" w:rsidR="005F1C83" w:rsidRPr="0056234F" w:rsidRDefault="0012289C" w:rsidP="00AA5ECB">
      <w:r w:rsidRPr="0056234F">
        <w:t>Bj</w:t>
      </w:r>
      <w:r w:rsidRPr="0056234F">
        <w:rPr>
          <w:rStyle w:val="SC4172049"/>
          <w:rFonts w:ascii="Times New Roman" w:hAnsi="Times New Roman" w:cs="Times New Roman"/>
          <w:sz w:val="24"/>
          <w:szCs w:val="24"/>
        </w:rPr>
        <w:t>ørnstad, R. (2023)</w:t>
      </w:r>
      <w:r w:rsidR="00ED40B6" w:rsidRPr="0056234F">
        <w:rPr>
          <w:rStyle w:val="SC4172049"/>
          <w:rFonts w:ascii="Times New Roman" w:hAnsi="Times New Roman" w:cs="Times New Roman"/>
          <w:sz w:val="24"/>
          <w:szCs w:val="24"/>
        </w:rPr>
        <w:t xml:space="preserve">. Nei, importert </w:t>
      </w:r>
      <w:r w:rsidR="003A60B2" w:rsidRPr="0056234F">
        <w:rPr>
          <w:rStyle w:val="SC4172049"/>
          <w:rFonts w:ascii="Times New Roman" w:hAnsi="Times New Roman" w:cs="Times New Roman"/>
          <w:sz w:val="24"/>
          <w:szCs w:val="24"/>
        </w:rPr>
        <w:t>i</w:t>
      </w:r>
      <w:r w:rsidR="00ED40B6" w:rsidRPr="0056234F">
        <w:rPr>
          <w:rStyle w:val="SC4172049"/>
          <w:rFonts w:ascii="Times New Roman" w:hAnsi="Times New Roman" w:cs="Times New Roman"/>
          <w:sz w:val="24"/>
          <w:szCs w:val="24"/>
        </w:rPr>
        <w:t>nflasjon trenger ikke gi økte renter</w:t>
      </w:r>
      <w:r w:rsidR="00A75295" w:rsidRPr="0056234F">
        <w:rPr>
          <w:rStyle w:val="SC4172049"/>
          <w:rFonts w:ascii="Times New Roman" w:hAnsi="Times New Roman" w:cs="Times New Roman"/>
          <w:sz w:val="24"/>
          <w:szCs w:val="24"/>
        </w:rPr>
        <w:t xml:space="preserve">, </w:t>
      </w:r>
      <w:r w:rsidR="005F1C83" w:rsidRPr="0056234F">
        <w:rPr>
          <w:rStyle w:val="SC4172049"/>
          <w:rFonts w:ascii="Times New Roman" w:hAnsi="Times New Roman" w:cs="Times New Roman"/>
          <w:i/>
          <w:iCs/>
          <w:sz w:val="24"/>
          <w:szCs w:val="24"/>
        </w:rPr>
        <w:t>Dagens N</w:t>
      </w:r>
      <w:r w:rsidR="005F1C83" w:rsidRPr="0056234F">
        <w:rPr>
          <w:rStyle w:val="mw-page-title-main"/>
          <w:rFonts w:ascii="Times New Roman" w:hAnsi="Times New Roman" w:cs="Times New Roman"/>
          <w:i/>
          <w:iCs/>
          <w:sz w:val="24"/>
          <w:szCs w:val="24"/>
        </w:rPr>
        <w:t>æringsliv</w:t>
      </w:r>
      <w:r w:rsidR="005F1C83" w:rsidRPr="0056234F">
        <w:rPr>
          <w:rStyle w:val="mw-page-title-main"/>
          <w:rFonts w:ascii="Times New Roman" w:hAnsi="Times New Roman" w:cs="Times New Roman"/>
          <w:sz w:val="24"/>
          <w:szCs w:val="24"/>
        </w:rPr>
        <w:t xml:space="preserve">, </w:t>
      </w:r>
      <w:r w:rsidR="00AA5ECB" w:rsidRPr="0056234F">
        <w:rPr>
          <w:rStyle w:val="mw-page-title-main"/>
          <w:rFonts w:ascii="Times New Roman" w:hAnsi="Times New Roman" w:cs="Times New Roman"/>
          <w:sz w:val="24"/>
          <w:szCs w:val="24"/>
        </w:rPr>
        <w:t>3 August.</w:t>
      </w:r>
    </w:p>
    <w:p w14:paraId="3E902A4D" w14:textId="024678FF" w:rsidR="00BA0D5A" w:rsidRDefault="00BA0D5A" w:rsidP="00FC212B">
      <w:pPr>
        <w:rPr>
          <w:rFonts w:ascii="Times New Roman" w:hAnsi="Times New Roman" w:cs="Times New Roman"/>
          <w:sz w:val="24"/>
          <w:szCs w:val="24"/>
          <w:lang w:val="en-GB"/>
        </w:rPr>
      </w:pPr>
      <w:r w:rsidRPr="004A0152">
        <w:rPr>
          <w:rFonts w:ascii="Times New Roman" w:hAnsi="Times New Roman" w:cs="Times New Roman"/>
          <w:sz w:val="24"/>
          <w:szCs w:val="24"/>
          <w:lang w:val="en-GB"/>
        </w:rPr>
        <w:t>Calmfors, L. (1977)</w:t>
      </w:r>
      <w:r w:rsidR="0013048F" w:rsidRPr="004A0152">
        <w:rPr>
          <w:rFonts w:ascii="Times New Roman" w:hAnsi="Times New Roman" w:cs="Times New Roman"/>
          <w:sz w:val="24"/>
          <w:szCs w:val="24"/>
          <w:lang w:val="en-GB"/>
        </w:rPr>
        <w:t xml:space="preserve">. </w:t>
      </w:r>
      <w:r w:rsidR="0013048F">
        <w:rPr>
          <w:rFonts w:ascii="Times New Roman" w:hAnsi="Times New Roman" w:cs="Times New Roman"/>
          <w:sz w:val="24"/>
          <w:szCs w:val="24"/>
          <w:lang w:val="en-GB"/>
        </w:rPr>
        <w:t xml:space="preserve">Inflation in Sweden. In L.B. Krause &amp; W.S. Salant (Eds), </w:t>
      </w:r>
      <w:r w:rsidR="0013048F">
        <w:rPr>
          <w:rFonts w:ascii="Times New Roman" w:hAnsi="Times New Roman" w:cs="Times New Roman"/>
          <w:i/>
          <w:iCs/>
          <w:sz w:val="24"/>
          <w:szCs w:val="24"/>
          <w:lang w:val="en-GB"/>
        </w:rPr>
        <w:t xml:space="preserve">Worldwide Inflation. </w:t>
      </w:r>
      <w:r w:rsidR="0013048F">
        <w:rPr>
          <w:rFonts w:ascii="Times New Roman" w:hAnsi="Times New Roman" w:cs="Times New Roman"/>
          <w:sz w:val="24"/>
          <w:szCs w:val="24"/>
          <w:lang w:val="en-GB"/>
        </w:rPr>
        <w:t>Washington: Brookings Institution.</w:t>
      </w:r>
    </w:p>
    <w:p w14:paraId="634F632C" w14:textId="5F91A685" w:rsidR="0013048F" w:rsidRDefault="0013048F" w:rsidP="00FC212B">
      <w:pPr>
        <w:rPr>
          <w:rFonts w:ascii="Times New Roman" w:hAnsi="Times New Roman" w:cs="Times New Roman"/>
          <w:sz w:val="24"/>
          <w:szCs w:val="24"/>
          <w:lang w:val="en-GB"/>
        </w:rPr>
      </w:pPr>
      <w:r>
        <w:rPr>
          <w:rFonts w:ascii="Times New Roman" w:hAnsi="Times New Roman" w:cs="Times New Roman"/>
          <w:sz w:val="24"/>
          <w:szCs w:val="24"/>
          <w:lang w:val="en-GB"/>
        </w:rPr>
        <w:t>Calmfors, L. (</w:t>
      </w:r>
      <w:r w:rsidR="000616D8">
        <w:rPr>
          <w:rFonts w:ascii="Times New Roman" w:hAnsi="Times New Roman" w:cs="Times New Roman"/>
          <w:sz w:val="24"/>
          <w:szCs w:val="24"/>
          <w:lang w:val="en-GB"/>
        </w:rPr>
        <w:t xml:space="preserve">1979). </w:t>
      </w:r>
      <w:r w:rsidR="00EE2872">
        <w:rPr>
          <w:rFonts w:ascii="Times New Roman" w:hAnsi="Times New Roman" w:cs="Times New Roman"/>
          <w:sz w:val="24"/>
          <w:szCs w:val="24"/>
          <w:lang w:val="en-GB"/>
        </w:rPr>
        <w:t>Real Wages</w:t>
      </w:r>
      <w:r w:rsidR="00447EF9">
        <w:rPr>
          <w:rFonts w:ascii="Times New Roman" w:hAnsi="Times New Roman" w:cs="Times New Roman"/>
          <w:sz w:val="24"/>
          <w:szCs w:val="24"/>
          <w:lang w:val="en-GB"/>
        </w:rPr>
        <w:t xml:space="preserve">, Inflation and Unemployment in the Open Economy. In </w:t>
      </w:r>
      <w:r w:rsidR="0082123D">
        <w:rPr>
          <w:rFonts w:ascii="Times New Roman" w:hAnsi="Times New Roman" w:cs="Times New Roman"/>
          <w:sz w:val="24"/>
          <w:szCs w:val="24"/>
          <w:lang w:val="en-GB"/>
        </w:rPr>
        <w:t xml:space="preserve">A. Lindbeck (Ed), </w:t>
      </w:r>
      <w:r w:rsidR="0082123D">
        <w:rPr>
          <w:rFonts w:ascii="Times New Roman" w:hAnsi="Times New Roman" w:cs="Times New Roman"/>
          <w:i/>
          <w:iCs/>
          <w:sz w:val="24"/>
          <w:szCs w:val="24"/>
          <w:lang w:val="en-GB"/>
        </w:rPr>
        <w:t>Inflation and Employment in Open Economies</w:t>
      </w:r>
      <w:r w:rsidR="00305FD3">
        <w:rPr>
          <w:rFonts w:ascii="Times New Roman" w:hAnsi="Times New Roman" w:cs="Times New Roman"/>
          <w:sz w:val="24"/>
          <w:szCs w:val="24"/>
          <w:lang w:val="en-GB"/>
        </w:rPr>
        <w:t>, Amsterdam: North-Holland.</w:t>
      </w:r>
    </w:p>
    <w:p w14:paraId="678DE2BB" w14:textId="657A60C9" w:rsidR="0020422A" w:rsidRPr="0069024E" w:rsidRDefault="0020422A" w:rsidP="00FC212B">
      <w:pPr>
        <w:rPr>
          <w:rFonts w:ascii="Times New Roman" w:hAnsi="Times New Roman" w:cs="Times New Roman"/>
          <w:sz w:val="24"/>
          <w:szCs w:val="24"/>
          <w:lang w:val="en-GB"/>
        </w:rPr>
      </w:pPr>
      <w:r>
        <w:rPr>
          <w:rFonts w:ascii="Times New Roman" w:hAnsi="Times New Roman" w:cs="Times New Roman"/>
          <w:sz w:val="24"/>
          <w:szCs w:val="24"/>
          <w:lang w:val="en-GB"/>
        </w:rPr>
        <w:t>Calmfors, L. (1993). Centralisation of Wage Bargaining and Macroe</w:t>
      </w:r>
      <w:r w:rsidR="004D0658">
        <w:rPr>
          <w:rFonts w:ascii="Times New Roman" w:hAnsi="Times New Roman" w:cs="Times New Roman"/>
          <w:sz w:val="24"/>
          <w:szCs w:val="24"/>
          <w:lang w:val="en-GB"/>
        </w:rPr>
        <w:t xml:space="preserve">conomic Performance – A Survey, </w:t>
      </w:r>
      <w:r w:rsidR="004D0658">
        <w:rPr>
          <w:rFonts w:ascii="Times New Roman" w:hAnsi="Times New Roman" w:cs="Times New Roman"/>
          <w:i/>
          <w:iCs/>
          <w:sz w:val="24"/>
          <w:szCs w:val="24"/>
          <w:lang w:val="en-GB"/>
        </w:rPr>
        <w:t>OECD Economic Studies</w:t>
      </w:r>
      <w:r w:rsidR="00D20BFB">
        <w:rPr>
          <w:rFonts w:ascii="Times New Roman" w:hAnsi="Times New Roman" w:cs="Times New Roman"/>
          <w:i/>
          <w:iCs/>
          <w:sz w:val="24"/>
          <w:szCs w:val="24"/>
          <w:lang w:val="en-GB"/>
        </w:rPr>
        <w:t xml:space="preserve">, </w:t>
      </w:r>
      <w:r w:rsidR="001E0C74">
        <w:rPr>
          <w:rFonts w:ascii="Times New Roman" w:hAnsi="Times New Roman" w:cs="Times New Roman"/>
          <w:sz w:val="24"/>
          <w:szCs w:val="24"/>
          <w:lang w:val="en-GB"/>
        </w:rPr>
        <w:t xml:space="preserve">No 21, </w:t>
      </w:r>
      <w:r w:rsidR="00425F22">
        <w:rPr>
          <w:rFonts w:ascii="Times New Roman" w:hAnsi="Times New Roman" w:cs="Times New Roman"/>
          <w:sz w:val="24"/>
          <w:szCs w:val="24"/>
          <w:lang w:val="en-GB"/>
        </w:rPr>
        <w:t>159-191.</w:t>
      </w:r>
    </w:p>
    <w:p w14:paraId="00B565B8" w14:textId="639E92BA" w:rsidR="00ED608F" w:rsidRPr="00AF41C7" w:rsidRDefault="00ED608F" w:rsidP="00FC212B">
      <w:pPr>
        <w:rPr>
          <w:rFonts w:ascii="Times New Roman" w:hAnsi="Times New Roman" w:cs="Times New Roman"/>
          <w:sz w:val="24"/>
          <w:szCs w:val="24"/>
        </w:rPr>
      </w:pPr>
      <w:r w:rsidRPr="0056234F">
        <w:rPr>
          <w:rFonts w:ascii="Times New Roman" w:hAnsi="Times New Roman" w:cs="Times New Roman"/>
          <w:sz w:val="24"/>
          <w:szCs w:val="24"/>
        </w:rPr>
        <w:t xml:space="preserve">Calmfors, L. (2008). </w:t>
      </w:r>
      <w:r w:rsidRPr="00ED608F">
        <w:rPr>
          <w:rFonts w:ascii="Times New Roman" w:hAnsi="Times New Roman" w:cs="Times New Roman"/>
          <w:sz w:val="24"/>
          <w:szCs w:val="24"/>
        </w:rPr>
        <w:t>Kr</w:t>
      </w:r>
      <w:r>
        <w:rPr>
          <w:rFonts w:ascii="Times New Roman" w:hAnsi="Times New Roman" w:cs="Times New Roman"/>
          <w:sz w:val="24"/>
          <w:szCs w:val="24"/>
        </w:rPr>
        <w:t>is i det svenska avtalssystemet</w:t>
      </w:r>
      <w:r w:rsidR="00AF41C7">
        <w:rPr>
          <w:rFonts w:ascii="Times New Roman" w:hAnsi="Times New Roman" w:cs="Times New Roman"/>
          <w:sz w:val="24"/>
          <w:szCs w:val="24"/>
        </w:rPr>
        <w:t xml:space="preserve">, </w:t>
      </w:r>
      <w:r w:rsidR="00AF41C7">
        <w:rPr>
          <w:rFonts w:ascii="Times New Roman" w:hAnsi="Times New Roman" w:cs="Times New Roman"/>
          <w:i/>
          <w:iCs/>
          <w:sz w:val="24"/>
          <w:szCs w:val="24"/>
        </w:rPr>
        <w:t>Ekonomisk Debatt</w:t>
      </w:r>
      <w:r w:rsidR="00AF41C7">
        <w:rPr>
          <w:rFonts w:ascii="Times New Roman" w:hAnsi="Times New Roman" w:cs="Times New Roman"/>
          <w:sz w:val="24"/>
          <w:szCs w:val="24"/>
        </w:rPr>
        <w:t xml:space="preserve">, </w:t>
      </w:r>
      <w:r w:rsidR="006B116D">
        <w:rPr>
          <w:rFonts w:ascii="Times New Roman" w:hAnsi="Times New Roman" w:cs="Times New Roman"/>
          <w:sz w:val="24"/>
          <w:szCs w:val="24"/>
        </w:rPr>
        <w:t>36(</w:t>
      </w:r>
      <w:r w:rsidR="00AF41C7">
        <w:rPr>
          <w:rFonts w:ascii="Times New Roman" w:hAnsi="Times New Roman" w:cs="Times New Roman"/>
          <w:sz w:val="24"/>
          <w:szCs w:val="24"/>
        </w:rPr>
        <w:t>8</w:t>
      </w:r>
      <w:r w:rsidR="00B929F5">
        <w:rPr>
          <w:rFonts w:ascii="Times New Roman" w:hAnsi="Times New Roman" w:cs="Times New Roman"/>
          <w:sz w:val="24"/>
          <w:szCs w:val="24"/>
        </w:rPr>
        <w:t>)</w:t>
      </w:r>
      <w:r w:rsidR="006B116D">
        <w:rPr>
          <w:rFonts w:ascii="Times New Roman" w:hAnsi="Times New Roman" w:cs="Times New Roman"/>
          <w:sz w:val="24"/>
          <w:szCs w:val="24"/>
        </w:rPr>
        <w:t xml:space="preserve">, </w:t>
      </w:r>
      <w:r w:rsidR="00547D59">
        <w:rPr>
          <w:rFonts w:ascii="Times New Roman" w:hAnsi="Times New Roman" w:cs="Times New Roman"/>
          <w:sz w:val="24"/>
          <w:szCs w:val="24"/>
        </w:rPr>
        <w:t>6-19.</w:t>
      </w:r>
    </w:p>
    <w:p w14:paraId="16FA3D91" w14:textId="6E079C97" w:rsidR="00C21766" w:rsidRDefault="00C21766" w:rsidP="00FC212B">
      <w:pPr>
        <w:rPr>
          <w:rFonts w:ascii="Times New Roman" w:hAnsi="Times New Roman" w:cs="Times New Roman"/>
          <w:sz w:val="24"/>
          <w:szCs w:val="24"/>
        </w:rPr>
      </w:pPr>
      <w:r w:rsidRPr="00D87E9D">
        <w:rPr>
          <w:rFonts w:ascii="Times New Roman" w:hAnsi="Times New Roman" w:cs="Times New Roman"/>
          <w:sz w:val="24"/>
          <w:szCs w:val="24"/>
        </w:rPr>
        <w:t xml:space="preserve">Calmfors, L. (2018). </w:t>
      </w:r>
      <w:r w:rsidRPr="00AB6709">
        <w:rPr>
          <w:rFonts w:ascii="Times New Roman" w:hAnsi="Times New Roman" w:cs="Times New Roman"/>
          <w:i/>
          <w:iCs/>
          <w:sz w:val="24"/>
          <w:szCs w:val="24"/>
        </w:rPr>
        <w:t>Industrins lönenormering kan och bör reformeras</w:t>
      </w:r>
      <w:r w:rsidR="00AB6709">
        <w:rPr>
          <w:rFonts w:ascii="Times New Roman" w:hAnsi="Times New Roman" w:cs="Times New Roman"/>
          <w:sz w:val="24"/>
          <w:szCs w:val="24"/>
        </w:rPr>
        <w:t>. Lönebildning för jämlikhet – nr 4</w:t>
      </w:r>
      <w:r w:rsidR="00C11F67">
        <w:rPr>
          <w:rFonts w:ascii="Times New Roman" w:hAnsi="Times New Roman" w:cs="Times New Roman"/>
          <w:sz w:val="24"/>
          <w:szCs w:val="24"/>
        </w:rPr>
        <w:t>. Stockholm: 6F – Fackförbund i samverkan.</w:t>
      </w:r>
    </w:p>
    <w:p w14:paraId="4B3CB961" w14:textId="2372E1B4" w:rsidR="0027044F" w:rsidRPr="004D7D55" w:rsidRDefault="0027044F" w:rsidP="00FC212B">
      <w:pPr>
        <w:rPr>
          <w:rFonts w:ascii="Times New Roman" w:hAnsi="Times New Roman" w:cs="Times New Roman"/>
          <w:sz w:val="24"/>
          <w:szCs w:val="24"/>
        </w:rPr>
      </w:pPr>
      <w:r>
        <w:rPr>
          <w:rFonts w:ascii="Times New Roman" w:hAnsi="Times New Roman" w:cs="Times New Roman"/>
          <w:sz w:val="24"/>
          <w:szCs w:val="24"/>
        </w:rPr>
        <w:lastRenderedPageBreak/>
        <w:t>Calmfors, L. (202</w:t>
      </w:r>
      <w:r w:rsidR="004D7D55">
        <w:rPr>
          <w:rFonts w:ascii="Times New Roman" w:hAnsi="Times New Roman" w:cs="Times New Roman"/>
          <w:sz w:val="24"/>
          <w:szCs w:val="24"/>
        </w:rPr>
        <w:t xml:space="preserve">1). </w:t>
      </w:r>
      <w:r w:rsidR="004D7D55">
        <w:rPr>
          <w:rFonts w:ascii="Times New Roman" w:hAnsi="Times New Roman" w:cs="Times New Roman"/>
          <w:i/>
          <w:iCs/>
          <w:sz w:val="24"/>
          <w:szCs w:val="24"/>
        </w:rPr>
        <w:t>Mellan forskning och politik</w:t>
      </w:r>
      <w:r w:rsidR="004D7D55">
        <w:rPr>
          <w:rFonts w:ascii="Times New Roman" w:hAnsi="Times New Roman" w:cs="Times New Roman"/>
          <w:sz w:val="24"/>
          <w:szCs w:val="24"/>
        </w:rPr>
        <w:t xml:space="preserve"> – </w:t>
      </w:r>
      <w:r w:rsidR="004D7D55">
        <w:rPr>
          <w:rFonts w:ascii="Times New Roman" w:hAnsi="Times New Roman" w:cs="Times New Roman"/>
          <w:i/>
          <w:iCs/>
          <w:sz w:val="24"/>
          <w:szCs w:val="24"/>
        </w:rPr>
        <w:t xml:space="preserve">50 år av samhällsdebatt. </w:t>
      </w:r>
      <w:r w:rsidR="004D7D55">
        <w:rPr>
          <w:rFonts w:ascii="Times New Roman" w:hAnsi="Times New Roman" w:cs="Times New Roman"/>
          <w:sz w:val="24"/>
          <w:szCs w:val="24"/>
        </w:rPr>
        <w:t>Stockholm: Ekerlids förlag.</w:t>
      </w:r>
    </w:p>
    <w:p w14:paraId="3D7F63EC" w14:textId="3DAB999A" w:rsidR="00D05035" w:rsidRDefault="00D05035" w:rsidP="00FC212B">
      <w:pPr>
        <w:rPr>
          <w:rFonts w:ascii="Times New Roman" w:hAnsi="Times New Roman" w:cs="Times New Roman"/>
          <w:sz w:val="24"/>
          <w:szCs w:val="24"/>
          <w:lang w:val="en-GB"/>
        </w:rPr>
      </w:pPr>
      <w:r w:rsidRPr="00C94DDA">
        <w:rPr>
          <w:rFonts w:ascii="Times New Roman" w:hAnsi="Times New Roman" w:cs="Times New Roman"/>
          <w:sz w:val="24"/>
          <w:szCs w:val="24"/>
        </w:rPr>
        <w:t>Calmfors, L., Ek, S., Kolm</w:t>
      </w:r>
      <w:r w:rsidR="00C94DDA" w:rsidRPr="00C94DDA">
        <w:rPr>
          <w:rFonts w:ascii="Times New Roman" w:hAnsi="Times New Roman" w:cs="Times New Roman"/>
          <w:sz w:val="24"/>
          <w:szCs w:val="24"/>
        </w:rPr>
        <w:t>, A.-S. &amp; Sk</w:t>
      </w:r>
      <w:r w:rsidR="00C94DDA">
        <w:rPr>
          <w:rFonts w:ascii="Times New Roman" w:hAnsi="Times New Roman" w:cs="Times New Roman"/>
          <w:sz w:val="24"/>
          <w:szCs w:val="24"/>
        </w:rPr>
        <w:t>edinger, P. (2019)</w:t>
      </w:r>
      <w:r w:rsidR="003235F3">
        <w:rPr>
          <w:rFonts w:ascii="Times New Roman" w:hAnsi="Times New Roman" w:cs="Times New Roman"/>
          <w:sz w:val="24"/>
          <w:szCs w:val="24"/>
        </w:rPr>
        <w:t xml:space="preserve">. </w:t>
      </w:r>
      <w:r w:rsidR="003235F3">
        <w:rPr>
          <w:rFonts w:ascii="Times New Roman" w:hAnsi="Times New Roman" w:cs="Times New Roman"/>
          <w:i/>
          <w:iCs/>
          <w:sz w:val="24"/>
          <w:szCs w:val="24"/>
        </w:rPr>
        <w:t>Kollektivavtal och lönebildning</w:t>
      </w:r>
      <w:r w:rsidR="005E21FD">
        <w:rPr>
          <w:rFonts w:ascii="Times New Roman" w:hAnsi="Times New Roman" w:cs="Times New Roman"/>
          <w:i/>
          <w:iCs/>
          <w:sz w:val="24"/>
          <w:szCs w:val="24"/>
        </w:rPr>
        <w:t xml:space="preserve"> i en ny tid</w:t>
      </w:r>
      <w:r w:rsidR="005E21FD">
        <w:rPr>
          <w:rFonts w:ascii="Times New Roman" w:hAnsi="Times New Roman" w:cs="Times New Roman"/>
          <w:sz w:val="24"/>
          <w:szCs w:val="24"/>
        </w:rPr>
        <w:t xml:space="preserve">. </w:t>
      </w:r>
      <w:r w:rsidR="00AF40CF" w:rsidRPr="00D87E9D">
        <w:rPr>
          <w:rFonts w:ascii="Times New Roman" w:hAnsi="Times New Roman" w:cs="Times New Roman"/>
          <w:sz w:val="24"/>
          <w:szCs w:val="24"/>
          <w:lang w:val="en-GB"/>
        </w:rPr>
        <w:t>Stockholm</w:t>
      </w:r>
      <w:r w:rsidR="00A94877" w:rsidRPr="00D87E9D">
        <w:rPr>
          <w:rFonts w:ascii="Times New Roman" w:hAnsi="Times New Roman" w:cs="Times New Roman"/>
          <w:sz w:val="24"/>
          <w:szCs w:val="24"/>
          <w:lang w:val="en-GB"/>
        </w:rPr>
        <w:t>: Dialogos.</w:t>
      </w:r>
    </w:p>
    <w:p w14:paraId="7D52495D" w14:textId="0AE1E1DA" w:rsidR="00B31D8C" w:rsidRPr="00AB2B47" w:rsidRDefault="00B31D8C" w:rsidP="00FC212B">
      <w:pPr>
        <w:rPr>
          <w:rFonts w:ascii="Times New Roman" w:hAnsi="Times New Roman" w:cs="Times New Roman"/>
          <w:sz w:val="24"/>
          <w:szCs w:val="24"/>
          <w:lang w:val="en-GB"/>
        </w:rPr>
      </w:pPr>
      <w:r>
        <w:rPr>
          <w:rFonts w:ascii="Times New Roman" w:hAnsi="Times New Roman" w:cs="Times New Roman"/>
          <w:sz w:val="24"/>
          <w:szCs w:val="24"/>
          <w:lang w:val="en-GB"/>
        </w:rPr>
        <w:t>Calmfors, L. &amp; Driffill, J. (1988)</w:t>
      </w:r>
      <w:r w:rsidR="00A8202C">
        <w:rPr>
          <w:rFonts w:ascii="Times New Roman" w:hAnsi="Times New Roman" w:cs="Times New Roman"/>
          <w:sz w:val="24"/>
          <w:szCs w:val="24"/>
          <w:lang w:val="en-GB"/>
        </w:rPr>
        <w:t xml:space="preserve">. Bargaining Structure, Corporatism and Macroeconomic Performance, </w:t>
      </w:r>
      <w:r w:rsidR="00A8202C">
        <w:rPr>
          <w:rFonts w:ascii="Times New Roman" w:hAnsi="Times New Roman" w:cs="Times New Roman"/>
          <w:i/>
          <w:iCs/>
          <w:sz w:val="24"/>
          <w:szCs w:val="24"/>
          <w:lang w:val="en-GB"/>
        </w:rPr>
        <w:t xml:space="preserve">Economic </w:t>
      </w:r>
      <w:r w:rsidR="00A8202C" w:rsidRPr="00534335">
        <w:rPr>
          <w:rFonts w:ascii="Times New Roman" w:hAnsi="Times New Roman" w:cs="Times New Roman"/>
          <w:sz w:val="24"/>
          <w:szCs w:val="24"/>
          <w:lang w:val="en-GB"/>
        </w:rPr>
        <w:t>Policy</w:t>
      </w:r>
      <w:r w:rsidR="00534335">
        <w:rPr>
          <w:rFonts w:ascii="Times New Roman" w:hAnsi="Times New Roman" w:cs="Times New Roman"/>
          <w:sz w:val="24"/>
          <w:szCs w:val="24"/>
          <w:lang w:val="en-GB"/>
        </w:rPr>
        <w:t xml:space="preserve">, </w:t>
      </w:r>
      <w:r w:rsidR="00AB2B47" w:rsidRPr="00534335">
        <w:rPr>
          <w:rFonts w:ascii="Times New Roman" w:hAnsi="Times New Roman" w:cs="Times New Roman"/>
          <w:sz w:val="24"/>
          <w:szCs w:val="24"/>
          <w:lang w:val="en-GB"/>
        </w:rPr>
        <w:t>3</w:t>
      </w:r>
      <w:r w:rsidR="00AB2B47">
        <w:rPr>
          <w:rFonts w:ascii="Times New Roman" w:hAnsi="Times New Roman" w:cs="Times New Roman"/>
          <w:sz w:val="24"/>
          <w:szCs w:val="24"/>
          <w:lang w:val="en-GB"/>
        </w:rPr>
        <w:t>(6), 13</w:t>
      </w:r>
      <w:r w:rsidR="00534335">
        <w:rPr>
          <w:rFonts w:ascii="Times New Roman" w:hAnsi="Times New Roman" w:cs="Times New Roman"/>
          <w:sz w:val="24"/>
          <w:szCs w:val="24"/>
          <w:lang w:val="en-GB"/>
        </w:rPr>
        <w:t>-61.</w:t>
      </w:r>
    </w:p>
    <w:p w14:paraId="53A2EA0A" w14:textId="77FEF0C0" w:rsidR="00C579D9" w:rsidRDefault="00C579D9" w:rsidP="00FC212B">
      <w:pPr>
        <w:rPr>
          <w:rFonts w:ascii="Times New Roman" w:hAnsi="Times New Roman" w:cs="Times New Roman"/>
          <w:sz w:val="24"/>
          <w:szCs w:val="24"/>
          <w:lang w:val="en-GB"/>
        </w:rPr>
      </w:pPr>
      <w:r w:rsidRPr="0020754E">
        <w:rPr>
          <w:rFonts w:ascii="Times New Roman" w:hAnsi="Times New Roman" w:cs="Times New Roman"/>
          <w:sz w:val="24"/>
          <w:szCs w:val="24"/>
          <w:lang w:val="en-GB"/>
        </w:rPr>
        <w:t>Calmfors, L. &amp; Nymoen, R.</w:t>
      </w:r>
      <w:r w:rsidR="0022230C" w:rsidRPr="0020754E">
        <w:rPr>
          <w:rFonts w:ascii="Times New Roman" w:hAnsi="Times New Roman" w:cs="Times New Roman"/>
          <w:sz w:val="24"/>
          <w:szCs w:val="24"/>
          <w:lang w:val="en-GB"/>
        </w:rPr>
        <w:t xml:space="preserve"> (1990)</w:t>
      </w:r>
      <w:r w:rsidR="0020754E" w:rsidRPr="0020754E">
        <w:rPr>
          <w:rFonts w:ascii="Times New Roman" w:hAnsi="Times New Roman" w:cs="Times New Roman"/>
          <w:sz w:val="24"/>
          <w:szCs w:val="24"/>
          <w:lang w:val="en-GB"/>
        </w:rPr>
        <w:t>. Rea</w:t>
      </w:r>
      <w:r w:rsidR="0020754E">
        <w:rPr>
          <w:rFonts w:ascii="Times New Roman" w:hAnsi="Times New Roman" w:cs="Times New Roman"/>
          <w:sz w:val="24"/>
          <w:szCs w:val="24"/>
          <w:lang w:val="en-GB"/>
        </w:rPr>
        <w:t xml:space="preserve">l Wage Adjustment and Employment Policies in the Nordic Countries, </w:t>
      </w:r>
      <w:r w:rsidR="0020754E">
        <w:rPr>
          <w:rFonts w:ascii="Times New Roman" w:hAnsi="Times New Roman" w:cs="Times New Roman"/>
          <w:i/>
          <w:iCs/>
          <w:sz w:val="24"/>
          <w:szCs w:val="24"/>
          <w:lang w:val="en-GB"/>
        </w:rPr>
        <w:t>Economic Policy</w:t>
      </w:r>
      <w:r w:rsidR="00F27B2D">
        <w:rPr>
          <w:rFonts w:ascii="Times New Roman" w:hAnsi="Times New Roman" w:cs="Times New Roman"/>
          <w:i/>
          <w:iCs/>
          <w:sz w:val="24"/>
          <w:szCs w:val="24"/>
          <w:lang w:val="en-GB"/>
        </w:rPr>
        <w:t xml:space="preserve">, </w:t>
      </w:r>
      <w:r w:rsidR="00F27B2D">
        <w:rPr>
          <w:rFonts w:ascii="Times New Roman" w:hAnsi="Times New Roman" w:cs="Times New Roman"/>
          <w:sz w:val="24"/>
          <w:szCs w:val="24"/>
          <w:lang w:val="en-GB"/>
        </w:rPr>
        <w:t xml:space="preserve">5(2), </w:t>
      </w:r>
      <w:r w:rsidR="003D52B9">
        <w:rPr>
          <w:rFonts w:ascii="Times New Roman" w:hAnsi="Times New Roman" w:cs="Times New Roman"/>
          <w:sz w:val="24"/>
          <w:szCs w:val="24"/>
          <w:lang w:val="en-GB"/>
        </w:rPr>
        <w:t>397-448.</w:t>
      </w:r>
    </w:p>
    <w:p w14:paraId="4F3F5780" w14:textId="79E562D6" w:rsidR="000B3B6C" w:rsidRDefault="000B3B6C" w:rsidP="00FC212B">
      <w:pPr>
        <w:rPr>
          <w:rFonts w:ascii="Times New Roman" w:hAnsi="Times New Roman" w:cs="Times New Roman"/>
          <w:sz w:val="24"/>
          <w:szCs w:val="24"/>
          <w:lang w:val="en-GB"/>
        </w:rPr>
      </w:pPr>
      <w:r>
        <w:rPr>
          <w:rFonts w:ascii="Times New Roman" w:hAnsi="Times New Roman" w:cs="Times New Roman"/>
          <w:sz w:val="24"/>
          <w:szCs w:val="24"/>
          <w:lang w:val="en-GB"/>
        </w:rPr>
        <w:t>Calmfors, L. &amp; Seim, A.L</w:t>
      </w:r>
      <w:r w:rsidR="003F0CBA">
        <w:rPr>
          <w:rFonts w:ascii="Times New Roman" w:hAnsi="Times New Roman" w:cs="Times New Roman"/>
          <w:sz w:val="24"/>
          <w:szCs w:val="24"/>
          <w:lang w:val="en-GB"/>
        </w:rPr>
        <w:t xml:space="preserve">. (2013). </w:t>
      </w:r>
      <w:r w:rsidR="00AB1063">
        <w:rPr>
          <w:rFonts w:ascii="Times New Roman" w:hAnsi="Times New Roman" w:cs="Times New Roman"/>
          <w:sz w:val="24"/>
          <w:szCs w:val="24"/>
          <w:lang w:val="en-GB"/>
        </w:rPr>
        <w:t>Pattern Bargaining and Wage Leadership in a Small</w:t>
      </w:r>
      <w:r w:rsidR="00457A5F">
        <w:rPr>
          <w:rFonts w:ascii="Times New Roman" w:hAnsi="Times New Roman" w:cs="Times New Roman"/>
          <w:sz w:val="24"/>
          <w:szCs w:val="24"/>
          <w:lang w:val="en-GB"/>
        </w:rPr>
        <w:t xml:space="preserve"> Open Economy, </w:t>
      </w:r>
      <w:r w:rsidR="00457A5F">
        <w:rPr>
          <w:rFonts w:ascii="Times New Roman" w:hAnsi="Times New Roman" w:cs="Times New Roman"/>
          <w:i/>
          <w:iCs/>
          <w:sz w:val="24"/>
          <w:szCs w:val="24"/>
          <w:lang w:val="en-GB"/>
        </w:rPr>
        <w:t>Scandinavian Journal of Econo</w:t>
      </w:r>
      <w:r w:rsidR="005D5EA4">
        <w:rPr>
          <w:rFonts w:ascii="Times New Roman" w:hAnsi="Times New Roman" w:cs="Times New Roman"/>
          <w:i/>
          <w:iCs/>
          <w:sz w:val="24"/>
          <w:szCs w:val="24"/>
          <w:lang w:val="en-GB"/>
        </w:rPr>
        <w:t xml:space="preserve">mics, </w:t>
      </w:r>
      <w:r w:rsidR="005D5EA4">
        <w:rPr>
          <w:rFonts w:ascii="Times New Roman" w:hAnsi="Times New Roman" w:cs="Times New Roman"/>
          <w:sz w:val="24"/>
          <w:szCs w:val="24"/>
          <w:lang w:val="en-GB"/>
        </w:rPr>
        <w:t>115(1)</w:t>
      </w:r>
      <w:r w:rsidR="002A7E9E">
        <w:rPr>
          <w:rFonts w:ascii="Times New Roman" w:hAnsi="Times New Roman" w:cs="Times New Roman"/>
          <w:sz w:val="24"/>
          <w:szCs w:val="24"/>
          <w:lang w:val="en-GB"/>
        </w:rPr>
        <w:t>, 109-140</w:t>
      </w:r>
      <w:r w:rsidR="008029F4">
        <w:rPr>
          <w:rFonts w:ascii="Times New Roman" w:hAnsi="Times New Roman" w:cs="Times New Roman"/>
          <w:sz w:val="24"/>
          <w:szCs w:val="24"/>
          <w:lang w:val="en-GB"/>
        </w:rPr>
        <w:t>.</w:t>
      </w:r>
    </w:p>
    <w:p w14:paraId="578D1475" w14:textId="3FCF1F7D" w:rsidR="008029F4" w:rsidRPr="00762873" w:rsidRDefault="008029F4" w:rsidP="00FC212B">
      <w:pPr>
        <w:rPr>
          <w:rFonts w:ascii="Times New Roman" w:hAnsi="Times New Roman" w:cs="Times New Roman"/>
          <w:sz w:val="24"/>
          <w:szCs w:val="24"/>
          <w:lang w:val="en-GB"/>
        </w:rPr>
      </w:pPr>
      <w:r w:rsidRPr="003E7862">
        <w:rPr>
          <w:rFonts w:ascii="Times New Roman" w:hAnsi="Times New Roman" w:cs="Times New Roman"/>
          <w:sz w:val="24"/>
          <w:szCs w:val="24"/>
          <w:lang w:val="en-GB"/>
        </w:rPr>
        <w:t>Calmfors, L. &amp; Viotti, S. (1982).</w:t>
      </w:r>
      <w:r w:rsidR="003E7862" w:rsidRPr="003E7862">
        <w:rPr>
          <w:rFonts w:ascii="Times New Roman" w:hAnsi="Times New Roman" w:cs="Times New Roman"/>
          <w:sz w:val="24"/>
          <w:szCs w:val="24"/>
          <w:lang w:val="en-GB"/>
        </w:rPr>
        <w:t xml:space="preserve"> Wage</w:t>
      </w:r>
      <w:r w:rsidR="003E7862">
        <w:rPr>
          <w:rFonts w:ascii="Times New Roman" w:hAnsi="Times New Roman" w:cs="Times New Roman"/>
          <w:sz w:val="24"/>
          <w:szCs w:val="24"/>
          <w:lang w:val="en-GB"/>
        </w:rPr>
        <w:t xml:space="preserve"> Indexation, the Scandinavian Model and Macroeconomic Stability in the Open Economy, </w:t>
      </w:r>
      <w:r w:rsidR="009B36E1">
        <w:rPr>
          <w:rFonts w:ascii="Times New Roman" w:hAnsi="Times New Roman" w:cs="Times New Roman"/>
          <w:i/>
          <w:iCs/>
          <w:sz w:val="24"/>
          <w:szCs w:val="24"/>
          <w:lang w:val="en-GB"/>
        </w:rPr>
        <w:t>Oxford Economic Papers</w:t>
      </w:r>
      <w:r w:rsidR="00762873">
        <w:rPr>
          <w:rFonts w:ascii="Times New Roman" w:hAnsi="Times New Roman" w:cs="Times New Roman"/>
          <w:sz w:val="24"/>
          <w:szCs w:val="24"/>
          <w:lang w:val="en-GB"/>
        </w:rPr>
        <w:t xml:space="preserve">, 34(3), </w:t>
      </w:r>
      <w:r w:rsidR="00034C63">
        <w:rPr>
          <w:rFonts w:ascii="Times New Roman" w:hAnsi="Times New Roman" w:cs="Times New Roman"/>
          <w:sz w:val="24"/>
          <w:szCs w:val="24"/>
          <w:lang w:val="en-GB"/>
        </w:rPr>
        <w:t>546-566.</w:t>
      </w:r>
    </w:p>
    <w:p w14:paraId="40C0A437" w14:textId="2915E500" w:rsidR="00174729" w:rsidRPr="00EA3135" w:rsidRDefault="00174729" w:rsidP="00FC212B">
      <w:pPr>
        <w:rPr>
          <w:rFonts w:ascii="Times New Roman" w:hAnsi="Times New Roman" w:cs="Times New Roman"/>
          <w:sz w:val="24"/>
          <w:szCs w:val="24"/>
        </w:rPr>
      </w:pPr>
      <w:r w:rsidRPr="00D87E9D">
        <w:rPr>
          <w:rFonts w:ascii="Times New Roman" w:hAnsi="Times New Roman" w:cs="Times New Roman"/>
          <w:sz w:val="24"/>
          <w:szCs w:val="24"/>
        </w:rPr>
        <w:t>Dalnoki, S. (2020)</w:t>
      </w:r>
      <w:r w:rsidR="002C517F" w:rsidRPr="00D87E9D">
        <w:rPr>
          <w:rFonts w:ascii="Times New Roman" w:hAnsi="Times New Roman" w:cs="Times New Roman"/>
          <w:sz w:val="24"/>
          <w:szCs w:val="24"/>
        </w:rPr>
        <w:t xml:space="preserve">. </w:t>
      </w:r>
      <w:r w:rsidR="002C517F">
        <w:rPr>
          <w:rFonts w:ascii="Times New Roman" w:hAnsi="Times New Roman" w:cs="Times New Roman"/>
          <w:sz w:val="24"/>
          <w:szCs w:val="24"/>
        </w:rPr>
        <w:t>Empirisk modellering av systemet for norsk l</w:t>
      </w:r>
      <w:r w:rsidR="002C517F" w:rsidRPr="001E1B66">
        <w:rPr>
          <w:rFonts w:ascii="Times New Roman" w:hAnsi="Times New Roman" w:cs="Times New Roman"/>
          <w:sz w:val="24"/>
          <w:szCs w:val="24"/>
        </w:rPr>
        <w:t>ø</w:t>
      </w:r>
      <w:r w:rsidR="001E1B66">
        <w:rPr>
          <w:rFonts w:ascii="Times New Roman" w:hAnsi="Times New Roman" w:cs="Times New Roman"/>
          <w:sz w:val="24"/>
          <w:szCs w:val="24"/>
        </w:rPr>
        <w:t>nnsdannelse</w:t>
      </w:r>
      <w:r w:rsidR="00EA3135">
        <w:rPr>
          <w:rFonts w:ascii="Times New Roman" w:hAnsi="Times New Roman" w:cs="Times New Roman"/>
          <w:sz w:val="24"/>
          <w:szCs w:val="24"/>
        </w:rPr>
        <w:t>,</w:t>
      </w:r>
      <w:r w:rsidR="001E1B66">
        <w:rPr>
          <w:rFonts w:ascii="Times New Roman" w:hAnsi="Times New Roman" w:cs="Times New Roman"/>
          <w:sz w:val="24"/>
          <w:szCs w:val="24"/>
        </w:rPr>
        <w:t xml:space="preserve"> </w:t>
      </w:r>
      <w:r w:rsidR="001E1B66" w:rsidRPr="00EA3135">
        <w:rPr>
          <w:rFonts w:ascii="Times New Roman" w:hAnsi="Times New Roman" w:cs="Times New Roman"/>
          <w:i/>
          <w:iCs/>
          <w:sz w:val="24"/>
          <w:szCs w:val="24"/>
        </w:rPr>
        <w:t>Samfunnsøkonomen</w:t>
      </w:r>
      <w:r w:rsidR="00DB56DC" w:rsidRPr="00EA3135">
        <w:rPr>
          <w:rFonts w:ascii="Times New Roman" w:hAnsi="Times New Roman" w:cs="Times New Roman"/>
          <w:sz w:val="24"/>
          <w:szCs w:val="24"/>
        </w:rPr>
        <w:t xml:space="preserve">, </w:t>
      </w:r>
      <w:r w:rsidR="00630C48" w:rsidRPr="00EA3135">
        <w:rPr>
          <w:rFonts w:ascii="Times New Roman" w:hAnsi="Times New Roman" w:cs="Times New Roman"/>
          <w:sz w:val="24"/>
          <w:szCs w:val="24"/>
        </w:rPr>
        <w:t>134(3), 58-69.</w:t>
      </w:r>
      <w:r w:rsidR="002C517F" w:rsidRPr="00EA3135">
        <w:rPr>
          <w:rFonts w:ascii="Times New Roman" w:hAnsi="Times New Roman" w:cs="Times New Roman"/>
          <w:sz w:val="24"/>
          <w:szCs w:val="24"/>
        </w:rPr>
        <w:t xml:space="preserve"> </w:t>
      </w:r>
    </w:p>
    <w:p w14:paraId="4588AD7D" w14:textId="57931746" w:rsidR="008A58B1" w:rsidRDefault="008A58B1" w:rsidP="00FC212B">
      <w:pPr>
        <w:rPr>
          <w:rFonts w:ascii="Times New Roman" w:hAnsi="Times New Roman" w:cs="Times New Roman"/>
          <w:sz w:val="24"/>
          <w:szCs w:val="24"/>
        </w:rPr>
      </w:pPr>
      <w:r w:rsidRPr="00DA6CAB">
        <w:rPr>
          <w:rFonts w:ascii="Times New Roman" w:hAnsi="Times New Roman" w:cs="Times New Roman"/>
          <w:sz w:val="24"/>
          <w:szCs w:val="24"/>
        </w:rPr>
        <w:t>Edgren, G.</w:t>
      </w:r>
      <w:r w:rsidR="00707A3D" w:rsidRPr="00DA6CAB">
        <w:rPr>
          <w:rFonts w:ascii="Times New Roman" w:hAnsi="Times New Roman" w:cs="Times New Roman"/>
          <w:sz w:val="24"/>
          <w:szCs w:val="24"/>
        </w:rPr>
        <w:t>, Faxén, K.O</w:t>
      </w:r>
      <w:r w:rsidR="00FA1B2D" w:rsidRPr="00DA6CAB">
        <w:rPr>
          <w:rFonts w:ascii="Times New Roman" w:hAnsi="Times New Roman" w:cs="Times New Roman"/>
          <w:sz w:val="24"/>
          <w:szCs w:val="24"/>
        </w:rPr>
        <w:t>. &amp; Odhner, C</w:t>
      </w:r>
      <w:r w:rsidR="00FC425B" w:rsidRPr="00DA6CAB">
        <w:rPr>
          <w:rFonts w:ascii="Times New Roman" w:hAnsi="Times New Roman" w:cs="Times New Roman"/>
          <w:sz w:val="24"/>
          <w:szCs w:val="24"/>
        </w:rPr>
        <w:t>.E. (1973)</w:t>
      </w:r>
      <w:r w:rsidR="00C941B6" w:rsidRPr="00DA6CAB">
        <w:rPr>
          <w:rFonts w:ascii="Times New Roman" w:hAnsi="Times New Roman" w:cs="Times New Roman"/>
          <w:sz w:val="24"/>
          <w:szCs w:val="24"/>
        </w:rPr>
        <w:t>.</w:t>
      </w:r>
      <w:r w:rsidR="00FC425B" w:rsidRPr="00DA6CAB">
        <w:rPr>
          <w:rFonts w:ascii="Times New Roman" w:hAnsi="Times New Roman" w:cs="Times New Roman"/>
          <w:sz w:val="24"/>
          <w:szCs w:val="24"/>
        </w:rPr>
        <w:t xml:space="preserve"> </w:t>
      </w:r>
      <w:r w:rsidR="00FC425B" w:rsidRPr="00FC425B">
        <w:rPr>
          <w:rFonts w:ascii="Times New Roman" w:hAnsi="Times New Roman" w:cs="Times New Roman"/>
          <w:i/>
          <w:iCs/>
          <w:sz w:val="24"/>
          <w:szCs w:val="24"/>
          <w:lang w:val="en-GB"/>
        </w:rPr>
        <w:t>Wage For</w:t>
      </w:r>
      <w:r w:rsidR="00FC425B">
        <w:rPr>
          <w:rFonts w:ascii="Times New Roman" w:hAnsi="Times New Roman" w:cs="Times New Roman"/>
          <w:i/>
          <w:iCs/>
          <w:sz w:val="24"/>
          <w:szCs w:val="24"/>
          <w:lang w:val="en-GB"/>
        </w:rPr>
        <w:t>mation and the Economy</w:t>
      </w:r>
      <w:r w:rsidR="00BA4B9C">
        <w:rPr>
          <w:rFonts w:ascii="Times New Roman" w:hAnsi="Times New Roman" w:cs="Times New Roman"/>
          <w:sz w:val="24"/>
          <w:szCs w:val="24"/>
          <w:lang w:val="en-GB"/>
        </w:rPr>
        <w:t xml:space="preserve">. </w:t>
      </w:r>
      <w:r w:rsidR="00BA4B9C" w:rsidRPr="009151C0">
        <w:rPr>
          <w:rFonts w:ascii="Times New Roman" w:hAnsi="Times New Roman" w:cs="Times New Roman"/>
          <w:sz w:val="24"/>
          <w:szCs w:val="24"/>
        </w:rPr>
        <w:t xml:space="preserve">London: Allen </w:t>
      </w:r>
      <w:r w:rsidR="006E51A2" w:rsidRPr="009151C0">
        <w:rPr>
          <w:rFonts w:ascii="Times New Roman" w:hAnsi="Times New Roman" w:cs="Times New Roman"/>
          <w:sz w:val="24"/>
          <w:szCs w:val="24"/>
        </w:rPr>
        <w:t>and Unwin.</w:t>
      </w:r>
    </w:p>
    <w:p w14:paraId="71FCE84B" w14:textId="2B5C1EB8" w:rsidR="008A7DB6" w:rsidRPr="009151C0" w:rsidRDefault="008A7DB6" w:rsidP="00FC212B">
      <w:pPr>
        <w:rPr>
          <w:rFonts w:ascii="Times New Roman" w:hAnsi="Times New Roman" w:cs="Times New Roman"/>
          <w:sz w:val="24"/>
          <w:szCs w:val="24"/>
        </w:rPr>
      </w:pPr>
      <w:r w:rsidRPr="008A7DB6">
        <w:rPr>
          <w:rFonts w:ascii="Times New Roman" w:hAnsi="Times New Roman" w:cs="Times New Roman"/>
          <w:sz w:val="24"/>
          <w:szCs w:val="24"/>
        </w:rPr>
        <w:t>Edingruppen (1995)</w:t>
      </w:r>
      <w:r>
        <w:rPr>
          <w:rFonts w:ascii="Times New Roman" w:hAnsi="Times New Roman" w:cs="Times New Roman"/>
          <w:sz w:val="24"/>
          <w:szCs w:val="24"/>
        </w:rPr>
        <w:t>.</w:t>
      </w:r>
      <w:r w:rsidRPr="008A7DB6">
        <w:rPr>
          <w:rFonts w:ascii="Times New Roman" w:hAnsi="Times New Roman" w:cs="Times New Roman"/>
          <w:sz w:val="24"/>
          <w:szCs w:val="24"/>
        </w:rPr>
        <w:t xml:space="preserve"> </w:t>
      </w:r>
      <w:r w:rsidRPr="008A7DB6">
        <w:rPr>
          <w:rFonts w:ascii="Times New Roman" w:hAnsi="Times New Roman" w:cs="Times New Roman"/>
          <w:i/>
          <w:iCs/>
          <w:sz w:val="24"/>
          <w:szCs w:val="24"/>
        </w:rPr>
        <w:t>I takt med Europa: samhällsekonomiska aspekter på lönebildningen</w:t>
      </w:r>
      <w:r w:rsidR="00B82022">
        <w:rPr>
          <w:rFonts w:ascii="Times New Roman" w:hAnsi="Times New Roman" w:cs="Times New Roman"/>
          <w:sz w:val="24"/>
          <w:szCs w:val="24"/>
        </w:rPr>
        <w:t>. Stockholm: LO</w:t>
      </w:r>
      <w:r w:rsidRPr="008A7DB6">
        <w:rPr>
          <w:rFonts w:ascii="Times New Roman" w:hAnsi="Times New Roman" w:cs="Times New Roman"/>
          <w:sz w:val="24"/>
          <w:szCs w:val="24"/>
        </w:rPr>
        <w:t>.</w:t>
      </w:r>
    </w:p>
    <w:p w14:paraId="0D9CEAE8" w14:textId="5F494F9E" w:rsidR="009C7E69" w:rsidRPr="000E6ABE" w:rsidRDefault="009C7E69" w:rsidP="00FC212B">
      <w:pPr>
        <w:rPr>
          <w:rFonts w:ascii="Times New Roman" w:hAnsi="Times New Roman" w:cs="Times New Roman"/>
          <w:sz w:val="24"/>
          <w:szCs w:val="24"/>
        </w:rPr>
      </w:pPr>
      <w:r w:rsidRPr="00D80011">
        <w:rPr>
          <w:rFonts w:ascii="Times New Roman" w:hAnsi="Times New Roman" w:cs="Times New Roman"/>
          <w:sz w:val="24"/>
          <w:szCs w:val="24"/>
        </w:rPr>
        <w:t>Facken inom industrin (2015).</w:t>
      </w:r>
      <w:r w:rsidR="00D80011" w:rsidRPr="00D80011">
        <w:rPr>
          <w:rFonts w:ascii="Times New Roman" w:hAnsi="Times New Roman" w:cs="Times New Roman"/>
          <w:sz w:val="24"/>
          <w:szCs w:val="24"/>
        </w:rPr>
        <w:t xml:space="preserve"> </w:t>
      </w:r>
      <w:r w:rsidR="00D80011" w:rsidRPr="00D80011">
        <w:rPr>
          <w:rFonts w:ascii="Times New Roman" w:hAnsi="Times New Roman" w:cs="Times New Roman"/>
          <w:i/>
          <w:iCs/>
          <w:sz w:val="24"/>
          <w:szCs w:val="24"/>
        </w:rPr>
        <w:t>Bästa m</w:t>
      </w:r>
      <w:r w:rsidR="00D80011">
        <w:rPr>
          <w:rFonts w:ascii="Times New Roman" w:hAnsi="Times New Roman" w:cs="Times New Roman"/>
          <w:i/>
          <w:iCs/>
          <w:sz w:val="24"/>
          <w:szCs w:val="24"/>
        </w:rPr>
        <w:t>öjliga – om lönebildning och samhällsekonomi</w:t>
      </w:r>
      <w:r w:rsidR="000E6ABE">
        <w:rPr>
          <w:rFonts w:ascii="Times New Roman" w:hAnsi="Times New Roman" w:cs="Times New Roman"/>
          <w:i/>
          <w:iCs/>
          <w:sz w:val="24"/>
          <w:szCs w:val="24"/>
        </w:rPr>
        <w:t xml:space="preserve">. </w:t>
      </w:r>
      <w:r w:rsidR="000E6ABE">
        <w:rPr>
          <w:rFonts w:ascii="Times New Roman" w:hAnsi="Times New Roman" w:cs="Times New Roman"/>
          <w:sz w:val="24"/>
          <w:szCs w:val="24"/>
        </w:rPr>
        <w:t>www.fackeninomindustrin.se</w:t>
      </w:r>
      <w:r w:rsidR="00AB1063">
        <w:rPr>
          <w:rFonts w:ascii="Times New Roman" w:hAnsi="Times New Roman" w:cs="Times New Roman"/>
          <w:sz w:val="24"/>
          <w:szCs w:val="24"/>
        </w:rPr>
        <w:t>.</w:t>
      </w:r>
    </w:p>
    <w:p w14:paraId="2A323716" w14:textId="1ADB096F" w:rsidR="00593975" w:rsidRPr="005E47EB" w:rsidRDefault="00593975" w:rsidP="00FC212B">
      <w:pPr>
        <w:rPr>
          <w:rFonts w:ascii="Times New Roman" w:hAnsi="Times New Roman" w:cs="Times New Roman"/>
          <w:sz w:val="24"/>
          <w:szCs w:val="24"/>
          <w:lang w:val="en-GB"/>
        </w:rPr>
      </w:pPr>
      <w:r>
        <w:rPr>
          <w:rFonts w:ascii="Times New Roman" w:hAnsi="Times New Roman" w:cs="Times New Roman"/>
          <w:sz w:val="24"/>
          <w:szCs w:val="24"/>
          <w:lang w:val="en-GB"/>
        </w:rPr>
        <w:t xml:space="preserve">Forslund, A., Gottfries N. </w:t>
      </w:r>
      <w:r w:rsidR="00FE68DE">
        <w:rPr>
          <w:rFonts w:ascii="Times New Roman" w:hAnsi="Times New Roman" w:cs="Times New Roman"/>
          <w:sz w:val="24"/>
          <w:szCs w:val="24"/>
          <w:lang w:val="en-GB"/>
        </w:rPr>
        <w:t>&amp; Westermark, A. (2008)</w:t>
      </w:r>
      <w:r w:rsidR="00002EBA">
        <w:rPr>
          <w:rFonts w:ascii="Times New Roman" w:hAnsi="Times New Roman" w:cs="Times New Roman"/>
          <w:sz w:val="24"/>
          <w:szCs w:val="24"/>
          <w:lang w:val="en-GB"/>
        </w:rPr>
        <w:t xml:space="preserve">, </w:t>
      </w:r>
      <w:r w:rsidR="00002EBA" w:rsidRPr="00002EBA">
        <w:rPr>
          <w:rStyle w:val="Subtitle1"/>
          <w:rFonts w:ascii="Times New Roman" w:hAnsi="Times New Roman" w:cs="Times New Roman"/>
          <w:sz w:val="24"/>
          <w:szCs w:val="24"/>
          <w:lang w:val="en-GB"/>
        </w:rPr>
        <w:t>Prices, Productivity, and Wage Bargaining in Open Economie</w:t>
      </w:r>
      <w:r w:rsidR="00002EBA">
        <w:rPr>
          <w:rFonts w:ascii="Times New Roman" w:hAnsi="Times New Roman" w:cs="Times New Roman"/>
          <w:sz w:val="24"/>
          <w:szCs w:val="24"/>
          <w:lang w:val="en-GB"/>
        </w:rPr>
        <w:t>s</w:t>
      </w:r>
      <w:r w:rsidR="005E47EB">
        <w:rPr>
          <w:rFonts w:ascii="Times New Roman" w:hAnsi="Times New Roman" w:cs="Times New Roman"/>
          <w:sz w:val="24"/>
          <w:szCs w:val="24"/>
          <w:lang w:val="en-GB"/>
        </w:rPr>
        <w:t xml:space="preserve">, </w:t>
      </w:r>
      <w:r w:rsidR="005E47EB">
        <w:rPr>
          <w:rFonts w:ascii="Times New Roman" w:hAnsi="Times New Roman" w:cs="Times New Roman"/>
          <w:i/>
          <w:iCs/>
          <w:sz w:val="24"/>
          <w:szCs w:val="24"/>
          <w:lang w:val="en-GB"/>
        </w:rPr>
        <w:t>Scandinavian Journal of Economics</w:t>
      </w:r>
      <w:r w:rsidR="005E47EB">
        <w:rPr>
          <w:rFonts w:ascii="Times New Roman" w:hAnsi="Times New Roman" w:cs="Times New Roman"/>
          <w:sz w:val="24"/>
          <w:szCs w:val="24"/>
          <w:lang w:val="en-GB"/>
        </w:rPr>
        <w:t xml:space="preserve">, </w:t>
      </w:r>
      <w:r w:rsidR="00C579D9">
        <w:rPr>
          <w:rFonts w:ascii="Times New Roman" w:hAnsi="Times New Roman" w:cs="Times New Roman"/>
          <w:sz w:val="24"/>
          <w:szCs w:val="24"/>
          <w:lang w:val="en-GB"/>
        </w:rPr>
        <w:t>110(1), 169-195,</w:t>
      </w:r>
    </w:p>
    <w:p w14:paraId="5A8667A4" w14:textId="6CC4A6C5" w:rsidR="005638DC" w:rsidRDefault="005638DC" w:rsidP="00FC212B">
      <w:pPr>
        <w:rPr>
          <w:rFonts w:ascii="Times New Roman" w:hAnsi="Times New Roman" w:cs="Times New Roman"/>
          <w:sz w:val="24"/>
          <w:szCs w:val="24"/>
          <w:lang w:val="en-GB"/>
        </w:rPr>
      </w:pPr>
      <w:r w:rsidRPr="006075D2">
        <w:rPr>
          <w:rFonts w:ascii="Times New Roman" w:hAnsi="Times New Roman" w:cs="Times New Roman"/>
          <w:sz w:val="24"/>
          <w:szCs w:val="24"/>
        </w:rPr>
        <w:t>Gjelsvik, M., Nymoen, R. &amp;</w:t>
      </w:r>
      <w:r w:rsidR="006075D2" w:rsidRPr="006075D2">
        <w:rPr>
          <w:rFonts w:ascii="Times New Roman" w:hAnsi="Times New Roman" w:cs="Times New Roman"/>
          <w:sz w:val="24"/>
          <w:szCs w:val="24"/>
        </w:rPr>
        <w:t xml:space="preserve"> S</w:t>
      </w:r>
      <w:r w:rsidR="006075D2">
        <w:rPr>
          <w:rFonts w:ascii="Times New Roman" w:hAnsi="Times New Roman" w:cs="Times New Roman"/>
          <w:sz w:val="24"/>
          <w:szCs w:val="24"/>
        </w:rPr>
        <w:t xml:space="preserve">parrman, V. (2020). </w:t>
      </w:r>
      <w:r w:rsidR="006075D2" w:rsidRPr="006075D2">
        <w:rPr>
          <w:rFonts w:ascii="Times New Roman" w:hAnsi="Times New Roman" w:cs="Times New Roman"/>
          <w:sz w:val="24"/>
          <w:szCs w:val="24"/>
          <w:lang w:val="en-GB"/>
        </w:rPr>
        <w:t>Cointegration and Structure in N</w:t>
      </w:r>
      <w:r w:rsidR="006075D2">
        <w:rPr>
          <w:rFonts w:ascii="Times New Roman" w:hAnsi="Times New Roman" w:cs="Times New Roman"/>
          <w:sz w:val="24"/>
          <w:szCs w:val="24"/>
          <w:lang w:val="en-GB"/>
        </w:rPr>
        <w:t>orwegian Wage-Price</w:t>
      </w:r>
      <w:r w:rsidR="0094045C">
        <w:rPr>
          <w:rFonts w:ascii="Times New Roman" w:hAnsi="Times New Roman" w:cs="Times New Roman"/>
          <w:sz w:val="24"/>
          <w:szCs w:val="24"/>
          <w:lang w:val="en-GB"/>
        </w:rPr>
        <w:t xml:space="preserve">- Dynamics, </w:t>
      </w:r>
      <w:r w:rsidR="0094045C">
        <w:rPr>
          <w:rFonts w:ascii="Times New Roman" w:hAnsi="Times New Roman" w:cs="Times New Roman"/>
          <w:i/>
          <w:iCs/>
          <w:sz w:val="24"/>
          <w:szCs w:val="24"/>
          <w:lang w:val="en-GB"/>
        </w:rPr>
        <w:t>Econometrics</w:t>
      </w:r>
      <w:r w:rsidR="0094045C">
        <w:rPr>
          <w:rFonts w:ascii="Times New Roman" w:hAnsi="Times New Roman" w:cs="Times New Roman"/>
          <w:sz w:val="24"/>
          <w:szCs w:val="24"/>
          <w:lang w:val="en-GB"/>
        </w:rPr>
        <w:t>, 8(3),</w:t>
      </w:r>
      <w:r w:rsidR="005C262A">
        <w:rPr>
          <w:rFonts w:ascii="Times New Roman" w:hAnsi="Times New Roman" w:cs="Times New Roman"/>
          <w:sz w:val="24"/>
          <w:szCs w:val="24"/>
          <w:lang w:val="en-GB"/>
        </w:rPr>
        <w:t xml:space="preserve"> 29.</w:t>
      </w:r>
    </w:p>
    <w:p w14:paraId="4EBEBCB5" w14:textId="612A761D" w:rsidR="00E25CDE" w:rsidRDefault="00E25CDE" w:rsidP="00FC212B">
      <w:pPr>
        <w:rPr>
          <w:rFonts w:ascii="Times New Roman" w:hAnsi="Times New Roman" w:cs="Times New Roman"/>
          <w:sz w:val="24"/>
          <w:szCs w:val="24"/>
        </w:rPr>
      </w:pPr>
      <w:r w:rsidRPr="00F4048B">
        <w:rPr>
          <w:rFonts w:ascii="Times New Roman" w:hAnsi="Times New Roman" w:cs="Times New Roman"/>
          <w:sz w:val="24"/>
          <w:szCs w:val="24"/>
        </w:rPr>
        <w:t>Gottfries, N. (201</w:t>
      </w:r>
      <w:r w:rsidR="006A5F95">
        <w:rPr>
          <w:rFonts w:ascii="Times New Roman" w:hAnsi="Times New Roman" w:cs="Times New Roman"/>
          <w:sz w:val="24"/>
          <w:szCs w:val="24"/>
        </w:rPr>
        <w:t>0</w:t>
      </w:r>
      <w:r w:rsidRPr="00F4048B">
        <w:rPr>
          <w:rFonts w:ascii="Times New Roman" w:hAnsi="Times New Roman" w:cs="Times New Roman"/>
          <w:sz w:val="24"/>
          <w:szCs w:val="24"/>
        </w:rPr>
        <w:t>).</w:t>
      </w:r>
      <w:r w:rsidR="00F4048B" w:rsidRPr="00F4048B">
        <w:rPr>
          <w:rFonts w:ascii="Times New Roman" w:hAnsi="Times New Roman" w:cs="Times New Roman"/>
          <w:sz w:val="24"/>
          <w:szCs w:val="24"/>
        </w:rPr>
        <w:t xml:space="preserve"> </w:t>
      </w:r>
      <w:r w:rsidR="00F4048B" w:rsidRPr="00684F38">
        <w:rPr>
          <w:rFonts w:ascii="Times New Roman" w:hAnsi="Times New Roman" w:cs="Times New Roman"/>
          <w:i/>
          <w:iCs/>
          <w:sz w:val="24"/>
          <w:szCs w:val="24"/>
        </w:rPr>
        <w:t>Fungerar den svenska lönebildningen</w:t>
      </w:r>
      <w:r w:rsidR="005B6BE6">
        <w:rPr>
          <w:rFonts w:ascii="Times New Roman" w:hAnsi="Times New Roman" w:cs="Times New Roman"/>
          <w:sz w:val="24"/>
          <w:szCs w:val="24"/>
        </w:rPr>
        <w:t xml:space="preserve">? Bilaga </w:t>
      </w:r>
      <w:r w:rsidR="00E15FF1">
        <w:rPr>
          <w:rFonts w:ascii="Times New Roman" w:hAnsi="Times New Roman" w:cs="Times New Roman"/>
          <w:sz w:val="24"/>
          <w:szCs w:val="24"/>
        </w:rPr>
        <w:t xml:space="preserve">till </w:t>
      </w:r>
      <w:r w:rsidR="00556B25">
        <w:rPr>
          <w:rFonts w:ascii="Times New Roman" w:hAnsi="Times New Roman" w:cs="Times New Roman"/>
          <w:sz w:val="24"/>
          <w:szCs w:val="24"/>
        </w:rPr>
        <w:t>Att s</w:t>
      </w:r>
      <w:r w:rsidR="006D4487">
        <w:rPr>
          <w:rFonts w:ascii="Times New Roman" w:hAnsi="Times New Roman" w:cs="Times New Roman"/>
          <w:sz w:val="24"/>
          <w:szCs w:val="24"/>
        </w:rPr>
        <w:t>kapa arbeten – löner, anställningsskydd och konkurrens</w:t>
      </w:r>
      <w:r w:rsidR="002827FD">
        <w:rPr>
          <w:rFonts w:ascii="Times New Roman" w:hAnsi="Times New Roman" w:cs="Times New Roman"/>
          <w:sz w:val="24"/>
          <w:szCs w:val="24"/>
        </w:rPr>
        <w:t>, SOU 20</w:t>
      </w:r>
      <w:r w:rsidR="00290096">
        <w:rPr>
          <w:rFonts w:ascii="Times New Roman" w:hAnsi="Times New Roman" w:cs="Times New Roman"/>
          <w:sz w:val="24"/>
          <w:szCs w:val="24"/>
        </w:rPr>
        <w:t>1</w:t>
      </w:r>
      <w:r w:rsidR="002827FD">
        <w:rPr>
          <w:rFonts w:ascii="Times New Roman" w:hAnsi="Times New Roman" w:cs="Times New Roman"/>
          <w:sz w:val="24"/>
          <w:szCs w:val="24"/>
        </w:rPr>
        <w:t>0:93, Stockholm.</w:t>
      </w:r>
    </w:p>
    <w:p w14:paraId="0F5BD59E" w14:textId="14BA5799" w:rsidR="00011B87" w:rsidRDefault="00DE3561" w:rsidP="00011B87">
      <w:pPr>
        <w:rPr>
          <w:rFonts w:ascii="Times New Roman" w:hAnsi="Times New Roman" w:cs="Times New Roman"/>
          <w:sz w:val="24"/>
          <w:szCs w:val="24"/>
        </w:rPr>
      </w:pPr>
      <w:r>
        <w:rPr>
          <w:rFonts w:ascii="Times New Roman" w:hAnsi="Times New Roman" w:cs="Times New Roman"/>
          <w:sz w:val="24"/>
          <w:szCs w:val="24"/>
        </w:rPr>
        <w:t xml:space="preserve">Gottfries, N. (2018). </w:t>
      </w:r>
      <w:r w:rsidR="00661152">
        <w:rPr>
          <w:rFonts w:ascii="Times New Roman" w:hAnsi="Times New Roman" w:cs="Times New Roman"/>
          <w:i/>
          <w:iCs/>
          <w:sz w:val="24"/>
          <w:szCs w:val="24"/>
        </w:rPr>
        <w:t>Europanormen saknar relevans</w:t>
      </w:r>
      <w:r w:rsidR="00011B87">
        <w:rPr>
          <w:rFonts w:ascii="Times New Roman" w:hAnsi="Times New Roman" w:cs="Times New Roman"/>
          <w:sz w:val="24"/>
          <w:szCs w:val="24"/>
        </w:rPr>
        <w:t xml:space="preserve">. Lönebildning för jämlikhet – nr </w:t>
      </w:r>
      <w:r w:rsidR="00FE71BC">
        <w:rPr>
          <w:rFonts w:ascii="Times New Roman" w:hAnsi="Times New Roman" w:cs="Times New Roman"/>
          <w:sz w:val="24"/>
          <w:szCs w:val="24"/>
        </w:rPr>
        <w:t>7</w:t>
      </w:r>
      <w:r w:rsidR="00011B87">
        <w:rPr>
          <w:rFonts w:ascii="Times New Roman" w:hAnsi="Times New Roman" w:cs="Times New Roman"/>
          <w:sz w:val="24"/>
          <w:szCs w:val="24"/>
        </w:rPr>
        <w:t>. Stockholm: 6F – Fackförbund i samverkan.</w:t>
      </w:r>
    </w:p>
    <w:p w14:paraId="1B4B729D" w14:textId="15D07629" w:rsidR="00D24436" w:rsidRDefault="00D24436" w:rsidP="00FC212B">
      <w:pPr>
        <w:rPr>
          <w:rFonts w:ascii="Times New Roman" w:hAnsi="Times New Roman" w:cs="Times New Roman"/>
          <w:sz w:val="24"/>
          <w:szCs w:val="24"/>
        </w:rPr>
      </w:pPr>
      <w:r>
        <w:rPr>
          <w:rFonts w:ascii="Times New Roman" w:hAnsi="Times New Roman" w:cs="Times New Roman"/>
          <w:sz w:val="24"/>
          <w:szCs w:val="24"/>
        </w:rPr>
        <w:t xml:space="preserve">Holden III-utvalget (2013). </w:t>
      </w:r>
      <w:r w:rsidR="0035112D" w:rsidRPr="0035112D">
        <w:rPr>
          <w:rFonts w:ascii="Times New Roman" w:hAnsi="Times New Roman" w:cs="Times New Roman"/>
          <w:i/>
          <w:iCs/>
          <w:sz w:val="24"/>
          <w:szCs w:val="24"/>
        </w:rPr>
        <w:t>Lønnsdannelsen og utfordringer for norsk økonomi</w:t>
      </w:r>
      <w:r w:rsidR="0035112D">
        <w:rPr>
          <w:rFonts w:ascii="Times New Roman" w:hAnsi="Times New Roman" w:cs="Times New Roman"/>
          <w:sz w:val="24"/>
          <w:szCs w:val="24"/>
        </w:rPr>
        <w:t xml:space="preserve">. </w:t>
      </w:r>
      <w:r w:rsidR="0035112D" w:rsidRPr="0035112D">
        <w:rPr>
          <w:rFonts w:ascii="Times New Roman" w:hAnsi="Times New Roman" w:cs="Times New Roman"/>
          <w:sz w:val="24"/>
          <w:szCs w:val="24"/>
        </w:rPr>
        <w:t>NOU 2013: 13</w:t>
      </w:r>
      <w:r w:rsidR="0035112D">
        <w:rPr>
          <w:rFonts w:ascii="Times New Roman" w:hAnsi="Times New Roman" w:cs="Times New Roman"/>
          <w:sz w:val="24"/>
          <w:szCs w:val="24"/>
        </w:rPr>
        <w:t>. Oslo.</w:t>
      </w:r>
    </w:p>
    <w:p w14:paraId="7498E406" w14:textId="7B0D3632" w:rsidR="00241CFA" w:rsidRPr="00085869" w:rsidRDefault="00241CFA" w:rsidP="00241CFA">
      <w:pPr>
        <w:rPr>
          <w:rFonts w:ascii="Times New Roman" w:hAnsi="Times New Roman" w:cs="Times New Roman"/>
          <w:sz w:val="24"/>
          <w:szCs w:val="24"/>
          <w:lang w:val="en-GB"/>
        </w:rPr>
      </w:pPr>
      <w:r w:rsidRPr="003E2A05">
        <w:rPr>
          <w:rFonts w:ascii="Times New Roman" w:hAnsi="Times New Roman" w:cs="Times New Roman"/>
          <w:sz w:val="24"/>
          <w:szCs w:val="24"/>
        </w:rPr>
        <w:t>Holden</w:t>
      </w:r>
      <w:r w:rsidR="00E977A3">
        <w:rPr>
          <w:rFonts w:ascii="Times New Roman" w:hAnsi="Times New Roman" w:cs="Times New Roman"/>
          <w:sz w:val="24"/>
          <w:szCs w:val="24"/>
        </w:rPr>
        <w:t xml:space="preserve"> </w:t>
      </w:r>
      <w:r w:rsidRPr="003E2A05">
        <w:rPr>
          <w:rFonts w:ascii="Times New Roman" w:hAnsi="Times New Roman" w:cs="Times New Roman"/>
          <w:sz w:val="24"/>
          <w:szCs w:val="24"/>
        </w:rPr>
        <w:t>I</w:t>
      </w:r>
      <w:r>
        <w:rPr>
          <w:rFonts w:ascii="Times New Roman" w:hAnsi="Times New Roman" w:cs="Times New Roman"/>
          <w:sz w:val="24"/>
          <w:szCs w:val="24"/>
        </w:rPr>
        <w:t>V</w:t>
      </w:r>
      <w:r w:rsidR="00085869">
        <w:rPr>
          <w:rFonts w:ascii="Times New Roman" w:hAnsi="Times New Roman" w:cs="Times New Roman"/>
          <w:sz w:val="24"/>
          <w:szCs w:val="24"/>
        </w:rPr>
        <w:t>-utvalget</w:t>
      </w:r>
      <w:r>
        <w:rPr>
          <w:rFonts w:ascii="Times New Roman" w:hAnsi="Times New Roman" w:cs="Times New Roman"/>
          <w:sz w:val="24"/>
          <w:szCs w:val="24"/>
        </w:rPr>
        <w:t xml:space="preserve"> (2023). </w:t>
      </w:r>
      <w:r>
        <w:rPr>
          <w:rFonts w:ascii="Times New Roman" w:hAnsi="Times New Roman" w:cs="Times New Roman"/>
          <w:i/>
          <w:iCs/>
          <w:sz w:val="24"/>
          <w:szCs w:val="24"/>
        </w:rPr>
        <w:t xml:space="preserve">Utfordringer for </w:t>
      </w:r>
      <w:r w:rsidRPr="00B02C6B">
        <w:rPr>
          <w:rFonts w:ascii="Times New Roman" w:hAnsi="Times New Roman" w:cs="Times New Roman"/>
          <w:i/>
          <w:iCs/>
          <w:sz w:val="24"/>
          <w:szCs w:val="24"/>
        </w:rPr>
        <w:t>lønnsdannelsen og norsk økonomi</w:t>
      </w:r>
      <w:r>
        <w:rPr>
          <w:rFonts w:ascii="Times New Roman" w:hAnsi="Times New Roman" w:cs="Times New Roman"/>
          <w:sz w:val="24"/>
          <w:szCs w:val="24"/>
        </w:rPr>
        <w:t xml:space="preserve">. </w:t>
      </w:r>
      <w:r w:rsidRPr="00085869">
        <w:rPr>
          <w:rFonts w:ascii="Times New Roman" w:hAnsi="Times New Roman" w:cs="Times New Roman"/>
          <w:sz w:val="24"/>
          <w:szCs w:val="24"/>
          <w:lang w:val="en-GB"/>
        </w:rPr>
        <w:t>NOU 2023:30. Oslo.</w:t>
      </w:r>
    </w:p>
    <w:p w14:paraId="350D77E7" w14:textId="0823C267" w:rsidR="00A668A7" w:rsidRDefault="009F6D96" w:rsidP="00FC212B">
      <w:pPr>
        <w:rPr>
          <w:rFonts w:ascii="Times New Roman" w:hAnsi="Times New Roman" w:cs="Times New Roman"/>
          <w:sz w:val="24"/>
          <w:szCs w:val="24"/>
          <w:lang w:val="en-GB"/>
        </w:rPr>
      </w:pPr>
      <w:r w:rsidRPr="00085869">
        <w:rPr>
          <w:rFonts w:ascii="Times New Roman" w:hAnsi="Times New Roman" w:cs="Times New Roman"/>
          <w:sz w:val="24"/>
          <w:szCs w:val="24"/>
          <w:lang w:val="en-GB"/>
        </w:rPr>
        <w:t>Ibsen, C.L.</w:t>
      </w:r>
      <w:r w:rsidR="00DC1B7D" w:rsidRPr="00085869">
        <w:rPr>
          <w:rFonts w:ascii="Times New Roman" w:hAnsi="Times New Roman" w:cs="Times New Roman"/>
          <w:sz w:val="24"/>
          <w:szCs w:val="24"/>
          <w:lang w:val="en-GB"/>
        </w:rPr>
        <w:t xml:space="preserve"> (2016)</w:t>
      </w:r>
      <w:r w:rsidR="00044383" w:rsidRPr="00085869">
        <w:rPr>
          <w:rFonts w:ascii="Times New Roman" w:hAnsi="Times New Roman" w:cs="Times New Roman"/>
          <w:sz w:val="24"/>
          <w:szCs w:val="24"/>
          <w:lang w:val="en-GB"/>
        </w:rPr>
        <w:t xml:space="preserve">. </w:t>
      </w:r>
      <w:r w:rsidR="00044383">
        <w:rPr>
          <w:rFonts w:ascii="Times New Roman" w:hAnsi="Times New Roman" w:cs="Times New Roman"/>
          <w:sz w:val="24"/>
          <w:szCs w:val="24"/>
          <w:lang w:val="en-GB"/>
        </w:rPr>
        <w:t>The Role of Mediation Institutions in Sweden and Denmark after Centralized Bargaining</w:t>
      </w:r>
      <w:r w:rsidR="0082080E">
        <w:rPr>
          <w:rFonts w:ascii="Times New Roman" w:hAnsi="Times New Roman" w:cs="Times New Roman"/>
          <w:sz w:val="24"/>
          <w:szCs w:val="24"/>
          <w:lang w:val="en-GB"/>
        </w:rPr>
        <w:t xml:space="preserve">, </w:t>
      </w:r>
      <w:r w:rsidR="0082080E">
        <w:rPr>
          <w:rFonts w:ascii="Times New Roman" w:hAnsi="Times New Roman" w:cs="Times New Roman"/>
          <w:i/>
          <w:iCs/>
          <w:sz w:val="24"/>
          <w:szCs w:val="24"/>
          <w:lang w:val="en-GB"/>
        </w:rPr>
        <w:t>British Journal of Industrial Relations</w:t>
      </w:r>
      <w:r w:rsidR="00BA6261">
        <w:rPr>
          <w:rFonts w:ascii="Times New Roman" w:hAnsi="Times New Roman" w:cs="Times New Roman"/>
          <w:sz w:val="24"/>
          <w:szCs w:val="24"/>
          <w:lang w:val="en-GB"/>
        </w:rPr>
        <w:t>, 54(2)</w:t>
      </w:r>
      <w:r w:rsidR="00AD6AD5">
        <w:rPr>
          <w:rFonts w:ascii="Times New Roman" w:hAnsi="Times New Roman" w:cs="Times New Roman"/>
          <w:sz w:val="24"/>
          <w:szCs w:val="24"/>
          <w:lang w:val="en-GB"/>
        </w:rPr>
        <w:t>, 285-</w:t>
      </w:r>
      <w:r w:rsidR="00F138D2">
        <w:rPr>
          <w:rFonts w:ascii="Times New Roman" w:hAnsi="Times New Roman" w:cs="Times New Roman"/>
          <w:sz w:val="24"/>
          <w:szCs w:val="24"/>
          <w:lang w:val="en-GB"/>
        </w:rPr>
        <w:t>310.</w:t>
      </w:r>
    </w:p>
    <w:p w14:paraId="1130801B" w14:textId="5C087F59" w:rsidR="00501884" w:rsidRPr="000C713D" w:rsidRDefault="00501884" w:rsidP="00FC212B">
      <w:pPr>
        <w:rPr>
          <w:rFonts w:ascii="Times New Roman" w:hAnsi="Times New Roman" w:cs="Times New Roman"/>
          <w:sz w:val="24"/>
          <w:szCs w:val="24"/>
          <w:lang w:val="en-GB"/>
        </w:rPr>
      </w:pPr>
      <w:r>
        <w:rPr>
          <w:rFonts w:ascii="Times New Roman" w:hAnsi="Times New Roman" w:cs="Times New Roman"/>
          <w:sz w:val="24"/>
          <w:szCs w:val="24"/>
          <w:lang w:val="en-GB"/>
        </w:rPr>
        <w:t>Johansen, K. (1995)</w:t>
      </w:r>
      <w:r w:rsidR="00932A1E">
        <w:rPr>
          <w:rFonts w:ascii="Times New Roman" w:hAnsi="Times New Roman" w:cs="Times New Roman"/>
          <w:sz w:val="24"/>
          <w:szCs w:val="24"/>
          <w:lang w:val="en-GB"/>
        </w:rPr>
        <w:t xml:space="preserve">. Norwegian Wage Curves, </w:t>
      </w:r>
      <w:r w:rsidR="007D6567">
        <w:rPr>
          <w:rFonts w:ascii="Times New Roman" w:hAnsi="Times New Roman" w:cs="Times New Roman"/>
          <w:i/>
          <w:iCs/>
          <w:sz w:val="24"/>
          <w:szCs w:val="24"/>
          <w:lang w:val="en-GB"/>
        </w:rPr>
        <w:t>Oxford Bulletin of Economics and Statistics</w:t>
      </w:r>
      <w:r w:rsidR="000C713D">
        <w:rPr>
          <w:rFonts w:ascii="Times New Roman" w:hAnsi="Times New Roman" w:cs="Times New Roman"/>
          <w:sz w:val="24"/>
          <w:szCs w:val="24"/>
          <w:lang w:val="en-GB"/>
        </w:rPr>
        <w:t xml:space="preserve">, 59, 57(2), </w:t>
      </w:r>
      <w:r w:rsidR="001F7695">
        <w:rPr>
          <w:rFonts w:ascii="Times New Roman" w:hAnsi="Times New Roman" w:cs="Times New Roman"/>
          <w:sz w:val="24"/>
          <w:szCs w:val="24"/>
          <w:lang w:val="en-GB"/>
        </w:rPr>
        <w:t>229-242.</w:t>
      </w:r>
    </w:p>
    <w:p w14:paraId="6AE002AF" w14:textId="3186534C" w:rsidR="0035214C" w:rsidRDefault="0035214C" w:rsidP="0035214C">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Jonker-Hoffrén, P. (2019). </w:t>
      </w:r>
      <w:r w:rsidRPr="0035214C">
        <w:rPr>
          <w:rFonts w:ascii="Times New Roman" w:hAnsi="Times New Roman" w:cs="Times New Roman"/>
          <w:sz w:val="24"/>
          <w:szCs w:val="24"/>
          <w:lang w:val="en-GB"/>
        </w:rPr>
        <w:t xml:space="preserve">Finland: </w:t>
      </w:r>
      <w:r>
        <w:rPr>
          <w:rFonts w:ascii="Times New Roman" w:hAnsi="Times New Roman" w:cs="Times New Roman"/>
          <w:sz w:val="24"/>
          <w:szCs w:val="24"/>
          <w:lang w:val="en-GB"/>
        </w:rPr>
        <w:t>G</w:t>
      </w:r>
      <w:r w:rsidRPr="0035214C">
        <w:rPr>
          <w:rFonts w:ascii="Times New Roman" w:hAnsi="Times New Roman" w:cs="Times New Roman"/>
          <w:sz w:val="24"/>
          <w:szCs w:val="24"/>
          <w:lang w:val="en-GB"/>
        </w:rPr>
        <w:t xml:space="preserve">oodbye </w:t>
      </w:r>
      <w:r>
        <w:rPr>
          <w:rFonts w:ascii="Times New Roman" w:hAnsi="Times New Roman" w:cs="Times New Roman"/>
          <w:sz w:val="24"/>
          <w:szCs w:val="24"/>
          <w:lang w:val="en-GB"/>
        </w:rPr>
        <w:t>C</w:t>
      </w:r>
      <w:r w:rsidRPr="0035214C">
        <w:rPr>
          <w:rFonts w:ascii="Times New Roman" w:hAnsi="Times New Roman" w:cs="Times New Roman"/>
          <w:sz w:val="24"/>
          <w:szCs w:val="24"/>
          <w:lang w:val="en-GB"/>
        </w:rPr>
        <w:t xml:space="preserve">entralised </w:t>
      </w:r>
      <w:r>
        <w:rPr>
          <w:rFonts w:ascii="Times New Roman" w:hAnsi="Times New Roman" w:cs="Times New Roman"/>
          <w:sz w:val="24"/>
          <w:szCs w:val="24"/>
          <w:lang w:val="en-GB"/>
        </w:rPr>
        <w:t>B</w:t>
      </w:r>
      <w:r w:rsidRPr="0035214C">
        <w:rPr>
          <w:rFonts w:ascii="Times New Roman" w:hAnsi="Times New Roman" w:cs="Times New Roman"/>
          <w:sz w:val="24"/>
          <w:szCs w:val="24"/>
          <w:lang w:val="en-GB"/>
        </w:rPr>
        <w:t xml:space="preserve">argaining? The </w:t>
      </w:r>
      <w:r>
        <w:rPr>
          <w:rFonts w:ascii="Times New Roman" w:hAnsi="Times New Roman" w:cs="Times New Roman"/>
          <w:sz w:val="24"/>
          <w:szCs w:val="24"/>
          <w:lang w:val="en-GB"/>
        </w:rPr>
        <w:t>E</w:t>
      </w:r>
      <w:r w:rsidRPr="0035214C">
        <w:rPr>
          <w:rFonts w:ascii="Times New Roman" w:hAnsi="Times New Roman" w:cs="Times New Roman"/>
          <w:sz w:val="24"/>
          <w:szCs w:val="24"/>
          <w:lang w:val="en-GB"/>
        </w:rPr>
        <w:t xml:space="preserve">mergence of a </w:t>
      </w:r>
      <w:r>
        <w:rPr>
          <w:rFonts w:ascii="Times New Roman" w:hAnsi="Times New Roman" w:cs="Times New Roman"/>
          <w:sz w:val="24"/>
          <w:szCs w:val="24"/>
          <w:lang w:val="en-GB"/>
        </w:rPr>
        <w:t>N</w:t>
      </w:r>
      <w:r w:rsidRPr="0035214C">
        <w:rPr>
          <w:rFonts w:ascii="Times New Roman" w:hAnsi="Times New Roman" w:cs="Times New Roman"/>
          <w:sz w:val="24"/>
          <w:szCs w:val="24"/>
          <w:lang w:val="en-GB"/>
        </w:rPr>
        <w:t>ew</w:t>
      </w:r>
      <w:r>
        <w:rPr>
          <w:rFonts w:ascii="Times New Roman" w:hAnsi="Times New Roman" w:cs="Times New Roman"/>
          <w:sz w:val="24"/>
          <w:szCs w:val="24"/>
          <w:lang w:val="en-GB"/>
        </w:rPr>
        <w:t xml:space="preserve"> I</w:t>
      </w:r>
      <w:r w:rsidRPr="0035214C">
        <w:rPr>
          <w:rFonts w:ascii="Times New Roman" w:hAnsi="Times New Roman" w:cs="Times New Roman"/>
          <w:sz w:val="24"/>
          <w:szCs w:val="24"/>
          <w:lang w:val="en-GB"/>
        </w:rPr>
        <w:t xml:space="preserve">ndustrial </w:t>
      </w:r>
      <w:r>
        <w:rPr>
          <w:rFonts w:ascii="Times New Roman" w:hAnsi="Times New Roman" w:cs="Times New Roman"/>
          <w:sz w:val="24"/>
          <w:szCs w:val="24"/>
          <w:lang w:val="en-GB"/>
        </w:rPr>
        <w:t>B</w:t>
      </w:r>
      <w:r w:rsidRPr="0035214C">
        <w:rPr>
          <w:rFonts w:ascii="Times New Roman" w:hAnsi="Times New Roman" w:cs="Times New Roman"/>
          <w:sz w:val="24"/>
          <w:szCs w:val="24"/>
          <w:lang w:val="en-GB"/>
        </w:rPr>
        <w:t xml:space="preserve">argaining </w:t>
      </w:r>
      <w:r>
        <w:rPr>
          <w:rFonts w:ascii="Times New Roman" w:hAnsi="Times New Roman" w:cs="Times New Roman"/>
          <w:sz w:val="24"/>
          <w:szCs w:val="24"/>
          <w:lang w:val="en-GB"/>
        </w:rPr>
        <w:t>R</w:t>
      </w:r>
      <w:r w:rsidRPr="0035214C">
        <w:rPr>
          <w:rFonts w:ascii="Times New Roman" w:hAnsi="Times New Roman" w:cs="Times New Roman"/>
          <w:sz w:val="24"/>
          <w:szCs w:val="24"/>
          <w:lang w:val="en-GB"/>
        </w:rPr>
        <w:t>egime</w:t>
      </w:r>
      <w:r w:rsidR="009E32E4">
        <w:rPr>
          <w:rFonts w:ascii="Times New Roman" w:hAnsi="Times New Roman" w:cs="Times New Roman"/>
          <w:sz w:val="24"/>
          <w:szCs w:val="24"/>
          <w:lang w:val="en-GB"/>
        </w:rPr>
        <w:t xml:space="preserve">. </w:t>
      </w:r>
      <w:r w:rsidR="00E128E0">
        <w:rPr>
          <w:rFonts w:ascii="Times New Roman" w:hAnsi="Times New Roman" w:cs="Times New Roman"/>
          <w:sz w:val="24"/>
          <w:szCs w:val="24"/>
          <w:lang w:val="en-GB"/>
        </w:rPr>
        <w:t>I</w:t>
      </w:r>
      <w:r w:rsidR="00794338">
        <w:rPr>
          <w:rFonts w:ascii="Times New Roman" w:hAnsi="Times New Roman" w:cs="Times New Roman"/>
          <w:sz w:val="24"/>
          <w:szCs w:val="24"/>
          <w:lang w:val="en-GB"/>
        </w:rPr>
        <w:t xml:space="preserve">n </w:t>
      </w:r>
      <w:r w:rsidR="00794338" w:rsidRPr="0035214C">
        <w:rPr>
          <w:rFonts w:ascii="Times New Roman" w:hAnsi="Times New Roman" w:cs="Times New Roman"/>
          <w:sz w:val="24"/>
          <w:szCs w:val="24"/>
          <w:lang w:val="en-GB"/>
        </w:rPr>
        <w:t>T</w:t>
      </w:r>
      <w:r w:rsidR="00794338">
        <w:rPr>
          <w:rFonts w:ascii="Times New Roman" w:hAnsi="Times New Roman" w:cs="Times New Roman"/>
          <w:sz w:val="24"/>
          <w:szCs w:val="24"/>
          <w:lang w:val="en-GB"/>
        </w:rPr>
        <w:t>.</w:t>
      </w:r>
      <w:r w:rsidR="00794338" w:rsidRPr="0035214C">
        <w:rPr>
          <w:rFonts w:ascii="Times New Roman" w:hAnsi="Times New Roman" w:cs="Times New Roman"/>
          <w:sz w:val="24"/>
          <w:szCs w:val="24"/>
          <w:lang w:val="en-GB"/>
        </w:rPr>
        <w:t xml:space="preserve"> Müller, K</w:t>
      </w:r>
      <w:r w:rsidR="00794338">
        <w:rPr>
          <w:rFonts w:ascii="Times New Roman" w:hAnsi="Times New Roman" w:cs="Times New Roman"/>
          <w:sz w:val="24"/>
          <w:szCs w:val="24"/>
          <w:lang w:val="en-GB"/>
        </w:rPr>
        <w:t>.</w:t>
      </w:r>
      <w:r w:rsidR="00794338" w:rsidRPr="0035214C">
        <w:rPr>
          <w:rFonts w:ascii="Times New Roman" w:hAnsi="Times New Roman" w:cs="Times New Roman"/>
          <w:sz w:val="24"/>
          <w:szCs w:val="24"/>
          <w:lang w:val="en-GB"/>
        </w:rPr>
        <w:t xml:space="preserve"> Vandaele </w:t>
      </w:r>
      <w:r w:rsidR="00794338">
        <w:rPr>
          <w:rFonts w:ascii="Times New Roman" w:hAnsi="Times New Roman" w:cs="Times New Roman"/>
          <w:sz w:val="24"/>
          <w:szCs w:val="24"/>
          <w:lang w:val="en-GB"/>
        </w:rPr>
        <w:t>&amp;</w:t>
      </w:r>
      <w:r w:rsidR="00794338" w:rsidRPr="0035214C">
        <w:rPr>
          <w:rFonts w:ascii="Times New Roman" w:hAnsi="Times New Roman" w:cs="Times New Roman"/>
          <w:sz w:val="24"/>
          <w:szCs w:val="24"/>
          <w:lang w:val="en-GB"/>
        </w:rPr>
        <w:t xml:space="preserve"> J</w:t>
      </w:r>
      <w:r w:rsidR="00794338">
        <w:rPr>
          <w:rFonts w:ascii="Times New Roman" w:hAnsi="Times New Roman" w:cs="Times New Roman"/>
          <w:sz w:val="24"/>
          <w:szCs w:val="24"/>
          <w:lang w:val="en-GB"/>
        </w:rPr>
        <w:t>.</w:t>
      </w:r>
      <w:r w:rsidR="00794338" w:rsidRPr="0035214C">
        <w:rPr>
          <w:rFonts w:ascii="Times New Roman" w:hAnsi="Times New Roman" w:cs="Times New Roman"/>
          <w:sz w:val="24"/>
          <w:szCs w:val="24"/>
          <w:lang w:val="en-GB"/>
        </w:rPr>
        <w:t xml:space="preserve"> Waddington</w:t>
      </w:r>
      <w:r w:rsidR="00FD5A83">
        <w:rPr>
          <w:rFonts w:ascii="Times New Roman" w:hAnsi="Times New Roman" w:cs="Times New Roman"/>
          <w:sz w:val="24"/>
          <w:szCs w:val="24"/>
          <w:lang w:val="en-GB"/>
        </w:rPr>
        <w:t xml:space="preserve"> (Eds),</w:t>
      </w:r>
      <w:r w:rsidR="00052BF0">
        <w:rPr>
          <w:rFonts w:ascii="Times New Roman" w:hAnsi="Times New Roman" w:cs="Times New Roman"/>
          <w:sz w:val="24"/>
          <w:szCs w:val="24"/>
          <w:lang w:val="en-GB"/>
        </w:rPr>
        <w:t xml:space="preserve"> </w:t>
      </w:r>
      <w:r w:rsidRPr="00BF72C6">
        <w:rPr>
          <w:rFonts w:ascii="Times New Roman" w:hAnsi="Times New Roman" w:cs="Times New Roman"/>
          <w:i/>
          <w:iCs/>
          <w:sz w:val="24"/>
          <w:szCs w:val="24"/>
          <w:lang w:val="en-GB"/>
        </w:rPr>
        <w:t xml:space="preserve">Collective </w:t>
      </w:r>
      <w:r w:rsidR="00052BF0" w:rsidRPr="00BF72C6">
        <w:rPr>
          <w:rFonts w:ascii="Times New Roman" w:hAnsi="Times New Roman" w:cs="Times New Roman"/>
          <w:i/>
          <w:iCs/>
          <w:sz w:val="24"/>
          <w:szCs w:val="24"/>
          <w:lang w:val="en-GB"/>
        </w:rPr>
        <w:t>B</w:t>
      </w:r>
      <w:r w:rsidRPr="00BF72C6">
        <w:rPr>
          <w:rFonts w:ascii="Times New Roman" w:hAnsi="Times New Roman" w:cs="Times New Roman"/>
          <w:i/>
          <w:iCs/>
          <w:sz w:val="24"/>
          <w:szCs w:val="24"/>
          <w:lang w:val="en-GB"/>
        </w:rPr>
        <w:t xml:space="preserve">argaining in Europe: towards an </w:t>
      </w:r>
      <w:r w:rsidR="00052BF0" w:rsidRPr="00BF72C6">
        <w:rPr>
          <w:rFonts w:ascii="Times New Roman" w:hAnsi="Times New Roman" w:cs="Times New Roman"/>
          <w:i/>
          <w:iCs/>
          <w:sz w:val="24"/>
          <w:szCs w:val="24"/>
          <w:lang w:val="en-GB"/>
        </w:rPr>
        <w:t>E</w:t>
      </w:r>
      <w:r w:rsidRPr="00BF72C6">
        <w:rPr>
          <w:rFonts w:ascii="Times New Roman" w:hAnsi="Times New Roman" w:cs="Times New Roman"/>
          <w:i/>
          <w:iCs/>
          <w:sz w:val="24"/>
          <w:szCs w:val="24"/>
          <w:lang w:val="en-GB"/>
        </w:rPr>
        <w:t>ndgame</w:t>
      </w:r>
      <w:r w:rsidR="005514CB">
        <w:rPr>
          <w:rFonts w:ascii="Times New Roman" w:hAnsi="Times New Roman" w:cs="Times New Roman"/>
          <w:sz w:val="24"/>
          <w:szCs w:val="24"/>
          <w:lang w:val="en-GB"/>
        </w:rPr>
        <w:t>,</w:t>
      </w:r>
      <w:r w:rsidRPr="0035214C">
        <w:rPr>
          <w:rFonts w:ascii="Times New Roman" w:hAnsi="Times New Roman" w:cs="Times New Roman"/>
          <w:sz w:val="24"/>
          <w:szCs w:val="24"/>
          <w:lang w:val="en-GB"/>
        </w:rPr>
        <w:t xml:space="preserve"> Volume II</w:t>
      </w:r>
      <w:r w:rsidR="004D7B25">
        <w:rPr>
          <w:rFonts w:ascii="Times New Roman" w:hAnsi="Times New Roman" w:cs="Times New Roman"/>
          <w:sz w:val="24"/>
          <w:szCs w:val="24"/>
          <w:lang w:val="en-GB"/>
        </w:rPr>
        <w:t xml:space="preserve"> (pp</w:t>
      </w:r>
      <w:r w:rsidR="008A7414">
        <w:rPr>
          <w:rFonts w:ascii="Times New Roman" w:hAnsi="Times New Roman" w:cs="Times New Roman"/>
          <w:sz w:val="24"/>
          <w:szCs w:val="24"/>
          <w:lang w:val="en-GB"/>
        </w:rPr>
        <w:t>. 197-216)</w:t>
      </w:r>
      <w:r w:rsidR="005514CB">
        <w:rPr>
          <w:rFonts w:ascii="Times New Roman" w:hAnsi="Times New Roman" w:cs="Times New Roman"/>
          <w:sz w:val="24"/>
          <w:szCs w:val="24"/>
          <w:lang w:val="en-GB"/>
        </w:rPr>
        <w:t xml:space="preserve">. </w:t>
      </w:r>
      <w:r w:rsidR="005514CB" w:rsidRPr="00AF0FD4">
        <w:rPr>
          <w:rFonts w:ascii="Times New Roman" w:hAnsi="Times New Roman" w:cs="Times New Roman"/>
          <w:sz w:val="24"/>
          <w:szCs w:val="24"/>
          <w:lang w:val="en-GB"/>
        </w:rPr>
        <w:t>Brussels: ETUI.</w:t>
      </w:r>
    </w:p>
    <w:p w14:paraId="0181106F" w14:textId="2CF4F675" w:rsidR="00254966" w:rsidRPr="003E12A9" w:rsidRDefault="00254966" w:rsidP="0035214C">
      <w:pPr>
        <w:rPr>
          <w:rFonts w:ascii="Times New Roman" w:hAnsi="Times New Roman" w:cs="Times New Roman"/>
          <w:sz w:val="24"/>
          <w:szCs w:val="24"/>
          <w:lang w:val="en-GB"/>
        </w:rPr>
      </w:pPr>
      <w:r>
        <w:rPr>
          <w:rFonts w:ascii="Times New Roman" w:hAnsi="Times New Roman" w:cs="Times New Roman"/>
          <w:sz w:val="24"/>
          <w:szCs w:val="24"/>
          <w:lang w:val="en-GB"/>
        </w:rPr>
        <w:t>Juvonen, P. (2023). Wage-setting Coordination in a Small Open Economy</w:t>
      </w:r>
      <w:r w:rsidR="003E12A9">
        <w:rPr>
          <w:rFonts w:ascii="Times New Roman" w:hAnsi="Times New Roman" w:cs="Times New Roman"/>
          <w:sz w:val="24"/>
          <w:szCs w:val="24"/>
          <w:lang w:val="en-GB"/>
        </w:rPr>
        <w:t xml:space="preserve">, </w:t>
      </w:r>
      <w:r w:rsidR="003E12A9">
        <w:rPr>
          <w:rFonts w:ascii="Times New Roman" w:hAnsi="Times New Roman" w:cs="Times New Roman"/>
          <w:i/>
          <w:iCs/>
          <w:sz w:val="24"/>
          <w:szCs w:val="24"/>
          <w:lang w:val="en-GB"/>
        </w:rPr>
        <w:t>Scandinavian Journal of Economics</w:t>
      </w:r>
      <w:r w:rsidR="003E12A9">
        <w:rPr>
          <w:rFonts w:ascii="Times New Roman" w:hAnsi="Times New Roman" w:cs="Times New Roman"/>
          <w:sz w:val="24"/>
          <w:szCs w:val="24"/>
          <w:lang w:val="en-GB"/>
        </w:rPr>
        <w:t>, 125(1)</w:t>
      </w:r>
      <w:r w:rsidR="00833D94">
        <w:rPr>
          <w:rFonts w:ascii="Times New Roman" w:hAnsi="Times New Roman" w:cs="Times New Roman"/>
          <w:sz w:val="24"/>
          <w:szCs w:val="24"/>
          <w:lang w:val="en-GB"/>
        </w:rPr>
        <w:t>,</w:t>
      </w:r>
      <w:r w:rsidR="003E12A9">
        <w:rPr>
          <w:rFonts w:ascii="Times New Roman" w:hAnsi="Times New Roman" w:cs="Times New Roman"/>
          <w:sz w:val="24"/>
          <w:szCs w:val="24"/>
          <w:lang w:val="en-GB"/>
        </w:rPr>
        <w:t xml:space="preserve"> 253</w:t>
      </w:r>
      <w:r w:rsidR="00833D94">
        <w:rPr>
          <w:rFonts w:ascii="Times New Roman" w:hAnsi="Times New Roman" w:cs="Times New Roman"/>
          <w:sz w:val="24"/>
          <w:szCs w:val="24"/>
          <w:lang w:val="en-GB"/>
        </w:rPr>
        <w:t>-286.</w:t>
      </w:r>
    </w:p>
    <w:p w14:paraId="305F4733" w14:textId="24715EB1" w:rsidR="00730E99" w:rsidRPr="003B100A" w:rsidRDefault="00730E99" w:rsidP="0035214C">
      <w:pPr>
        <w:rPr>
          <w:rFonts w:ascii="Times New Roman" w:hAnsi="Times New Roman" w:cs="Times New Roman"/>
          <w:sz w:val="24"/>
          <w:szCs w:val="24"/>
          <w:lang w:val="en-GB"/>
        </w:rPr>
      </w:pPr>
      <w:r w:rsidRPr="00AF0FD4">
        <w:rPr>
          <w:rFonts w:ascii="Times New Roman" w:hAnsi="Times New Roman" w:cs="Times New Roman"/>
          <w:sz w:val="24"/>
          <w:szCs w:val="24"/>
          <w:lang w:val="en-GB"/>
        </w:rPr>
        <w:t>Kahneman</w:t>
      </w:r>
      <w:r w:rsidR="00FE0562" w:rsidRPr="00AF0FD4">
        <w:rPr>
          <w:rFonts w:ascii="Times New Roman" w:hAnsi="Times New Roman" w:cs="Times New Roman"/>
          <w:sz w:val="24"/>
          <w:szCs w:val="24"/>
          <w:lang w:val="en-GB"/>
        </w:rPr>
        <w:t xml:space="preserve">, D. &amp; </w:t>
      </w:r>
      <w:r w:rsidR="002531C5" w:rsidRPr="00AF0FD4">
        <w:rPr>
          <w:rFonts w:ascii="Times New Roman" w:hAnsi="Times New Roman" w:cs="Times New Roman"/>
          <w:sz w:val="24"/>
          <w:szCs w:val="24"/>
          <w:lang w:val="en-GB"/>
        </w:rPr>
        <w:t xml:space="preserve">Tversky, A. (1979). </w:t>
      </w:r>
      <w:r w:rsidR="002531C5" w:rsidRPr="002531C5">
        <w:rPr>
          <w:rFonts w:ascii="Times New Roman" w:hAnsi="Times New Roman" w:cs="Times New Roman"/>
          <w:sz w:val="24"/>
          <w:szCs w:val="24"/>
          <w:lang w:val="en-GB"/>
        </w:rPr>
        <w:t>Prospect Theory: An Analysis o</w:t>
      </w:r>
      <w:r w:rsidR="002531C5">
        <w:rPr>
          <w:rFonts w:ascii="Times New Roman" w:hAnsi="Times New Roman" w:cs="Times New Roman"/>
          <w:sz w:val="24"/>
          <w:szCs w:val="24"/>
          <w:lang w:val="en-GB"/>
        </w:rPr>
        <w:t>f Decision under Risk</w:t>
      </w:r>
      <w:r w:rsidR="003B100A">
        <w:rPr>
          <w:rFonts w:ascii="Times New Roman" w:hAnsi="Times New Roman" w:cs="Times New Roman"/>
          <w:sz w:val="24"/>
          <w:szCs w:val="24"/>
          <w:lang w:val="en-GB"/>
        </w:rPr>
        <w:t xml:space="preserve">, </w:t>
      </w:r>
      <w:r w:rsidR="003B100A">
        <w:rPr>
          <w:rFonts w:ascii="Times New Roman" w:hAnsi="Times New Roman" w:cs="Times New Roman"/>
          <w:i/>
          <w:iCs/>
          <w:sz w:val="24"/>
          <w:szCs w:val="24"/>
          <w:lang w:val="en-GB"/>
        </w:rPr>
        <w:t>Econometrica</w:t>
      </w:r>
      <w:r w:rsidR="003B100A">
        <w:rPr>
          <w:rFonts w:ascii="Times New Roman" w:hAnsi="Times New Roman" w:cs="Times New Roman"/>
          <w:sz w:val="24"/>
          <w:szCs w:val="24"/>
          <w:lang w:val="en-GB"/>
        </w:rPr>
        <w:t>, 47, 263-291.</w:t>
      </w:r>
    </w:p>
    <w:p w14:paraId="4987FD95" w14:textId="54269D9C" w:rsidR="00241CFA" w:rsidRPr="00294BB8" w:rsidRDefault="00241CFA" w:rsidP="00FC212B">
      <w:pPr>
        <w:rPr>
          <w:rFonts w:ascii="Times New Roman" w:hAnsi="Times New Roman" w:cs="Times New Roman"/>
          <w:sz w:val="24"/>
          <w:szCs w:val="24"/>
          <w:lang w:val="en-GB"/>
        </w:rPr>
      </w:pPr>
      <w:r w:rsidRPr="00241CFA">
        <w:rPr>
          <w:rFonts w:ascii="Times New Roman" w:hAnsi="Times New Roman" w:cs="Times New Roman"/>
          <w:sz w:val="24"/>
          <w:szCs w:val="24"/>
        </w:rPr>
        <w:t>Ka</w:t>
      </w:r>
      <w:r>
        <w:rPr>
          <w:rFonts w:ascii="Times New Roman" w:hAnsi="Times New Roman" w:cs="Times New Roman"/>
          <w:sz w:val="24"/>
          <w:szCs w:val="24"/>
        </w:rPr>
        <w:t xml:space="preserve">rlson, N., Malm Lindberg, H., </w:t>
      </w:r>
      <w:r w:rsidR="008E580A">
        <w:rPr>
          <w:rFonts w:ascii="Times New Roman" w:hAnsi="Times New Roman" w:cs="Times New Roman"/>
          <w:sz w:val="24"/>
          <w:szCs w:val="24"/>
        </w:rPr>
        <w:t>Stern, L., Lundqvist, T.&amp; Larsson</w:t>
      </w:r>
      <w:r w:rsidR="00E2339C">
        <w:rPr>
          <w:rFonts w:ascii="Times New Roman" w:hAnsi="Times New Roman" w:cs="Times New Roman"/>
          <w:sz w:val="24"/>
          <w:szCs w:val="24"/>
        </w:rPr>
        <w:t xml:space="preserve">, A.-S. (2014). </w:t>
      </w:r>
      <w:r w:rsidR="00E2339C" w:rsidRPr="00294BB8">
        <w:rPr>
          <w:rFonts w:ascii="Times New Roman" w:hAnsi="Times New Roman" w:cs="Times New Roman"/>
          <w:i/>
          <w:iCs/>
          <w:sz w:val="24"/>
          <w:szCs w:val="24"/>
          <w:lang w:val="en-GB"/>
        </w:rPr>
        <w:t>Lönebildning i verkligheten</w:t>
      </w:r>
      <w:r w:rsidR="00534DB9" w:rsidRPr="00294BB8">
        <w:rPr>
          <w:rFonts w:ascii="Times New Roman" w:hAnsi="Times New Roman" w:cs="Times New Roman"/>
          <w:sz w:val="24"/>
          <w:szCs w:val="24"/>
          <w:lang w:val="en-GB"/>
        </w:rPr>
        <w:t>. Lund: Studentlitteratur.</w:t>
      </w:r>
    </w:p>
    <w:p w14:paraId="5AB6CDC4" w14:textId="48CCF91C" w:rsidR="000B7442" w:rsidRDefault="000B7442" w:rsidP="00FC212B">
      <w:pPr>
        <w:rPr>
          <w:rFonts w:ascii="Times New Roman" w:hAnsi="Times New Roman" w:cs="Times New Roman"/>
          <w:sz w:val="24"/>
          <w:szCs w:val="24"/>
          <w:lang w:val="en-GB"/>
        </w:rPr>
      </w:pPr>
      <w:r w:rsidRPr="004F3ABE">
        <w:rPr>
          <w:rFonts w:ascii="Times New Roman" w:hAnsi="Times New Roman" w:cs="Times New Roman"/>
          <w:sz w:val="24"/>
          <w:szCs w:val="24"/>
          <w:lang w:val="en-GB"/>
        </w:rPr>
        <w:t>K</w:t>
      </w:r>
      <w:r w:rsidR="008A7414" w:rsidRPr="004F3ABE">
        <w:rPr>
          <w:rFonts w:ascii="Times New Roman" w:hAnsi="Times New Roman" w:cs="Times New Roman"/>
          <w:sz w:val="24"/>
          <w:szCs w:val="24"/>
          <w:lang w:val="en-GB"/>
        </w:rPr>
        <w:t xml:space="preserve">auhanen, A. </w:t>
      </w:r>
      <w:r w:rsidR="004F3ABE" w:rsidRPr="004F3ABE">
        <w:rPr>
          <w:rFonts w:ascii="Times New Roman" w:hAnsi="Times New Roman" w:cs="Times New Roman"/>
          <w:sz w:val="24"/>
          <w:szCs w:val="24"/>
          <w:lang w:val="en-GB"/>
        </w:rPr>
        <w:t>(202</w:t>
      </w:r>
      <w:r w:rsidR="00933863">
        <w:rPr>
          <w:rFonts w:ascii="Times New Roman" w:hAnsi="Times New Roman" w:cs="Times New Roman"/>
          <w:sz w:val="24"/>
          <w:szCs w:val="24"/>
          <w:lang w:val="en-GB"/>
        </w:rPr>
        <w:t>4</w:t>
      </w:r>
      <w:r w:rsidR="004F3ABE" w:rsidRPr="004F3ABE">
        <w:rPr>
          <w:rFonts w:ascii="Times New Roman" w:hAnsi="Times New Roman" w:cs="Times New Roman"/>
          <w:sz w:val="24"/>
          <w:szCs w:val="24"/>
          <w:lang w:val="en-GB"/>
        </w:rPr>
        <w:t>). The Effects o</w:t>
      </w:r>
      <w:r w:rsidR="004F3ABE">
        <w:rPr>
          <w:rFonts w:ascii="Times New Roman" w:hAnsi="Times New Roman" w:cs="Times New Roman"/>
          <w:sz w:val="24"/>
          <w:szCs w:val="24"/>
          <w:lang w:val="en-GB"/>
        </w:rPr>
        <w:t>f the Decentralization of Collective Bargaining on Wages and Wage Dispersion: Evidence from the Finnish Forest and IT Industries</w:t>
      </w:r>
      <w:r w:rsidR="00F97A7B">
        <w:rPr>
          <w:rFonts w:ascii="Times New Roman" w:hAnsi="Times New Roman" w:cs="Times New Roman"/>
          <w:sz w:val="24"/>
          <w:szCs w:val="24"/>
          <w:lang w:val="en-GB"/>
        </w:rPr>
        <w:t xml:space="preserve">, </w:t>
      </w:r>
      <w:r w:rsidR="00F97A7B">
        <w:rPr>
          <w:rFonts w:ascii="Times New Roman" w:hAnsi="Times New Roman" w:cs="Times New Roman"/>
          <w:i/>
          <w:iCs/>
          <w:sz w:val="24"/>
          <w:szCs w:val="24"/>
          <w:lang w:val="en-GB"/>
        </w:rPr>
        <w:t xml:space="preserve">British Journal of Industrial </w:t>
      </w:r>
      <w:r w:rsidR="00F97A7B" w:rsidRPr="00623F89">
        <w:rPr>
          <w:rFonts w:ascii="Times New Roman" w:hAnsi="Times New Roman" w:cs="Times New Roman"/>
          <w:i/>
          <w:iCs/>
          <w:sz w:val="24"/>
          <w:szCs w:val="24"/>
          <w:lang w:val="en-GB"/>
        </w:rPr>
        <w:t>Relations</w:t>
      </w:r>
      <w:r w:rsidR="00623F89">
        <w:rPr>
          <w:rFonts w:ascii="Times New Roman" w:hAnsi="Times New Roman" w:cs="Times New Roman"/>
          <w:sz w:val="24"/>
          <w:szCs w:val="24"/>
          <w:lang w:val="en-GB"/>
        </w:rPr>
        <w:t>, 62</w:t>
      </w:r>
      <w:r w:rsidR="00933863">
        <w:rPr>
          <w:rFonts w:ascii="Times New Roman" w:hAnsi="Times New Roman" w:cs="Times New Roman"/>
          <w:sz w:val="24"/>
          <w:szCs w:val="24"/>
          <w:lang w:val="en-GB"/>
        </w:rPr>
        <w:t>,</w:t>
      </w:r>
      <w:r w:rsidR="002725D9">
        <w:rPr>
          <w:rFonts w:ascii="Times New Roman" w:hAnsi="Times New Roman" w:cs="Times New Roman"/>
          <w:sz w:val="24"/>
          <w:szCs w:val="24"/>
          <w:lang w:val="en-GB"/>
        </w:rPr>
        <w:t xml:space="preserve"> 319-334.</w:t>
      </w:r>
      <w:r w:rsidR="00933863">
        <w:rPr>
          <w:rFonts w:ascii="Times New Roman" w:hAnsi="Times New Roman" w:cs="Times New Roman"/>
          <w:sz w:val="24"/>
          <w:szCs w:val="24"/>
          <w:lang w:val="en-GB"/>
        </w:rPr>
        <w:t xml:space="preserve"> </w:t>
      </w:r>
    </w:p>
    <w:p w14:paraId="6B08726A" w14:textId="15D43CC9" w:rsidR="00F25832" w:rsidRPr="0056234F" w:rsidRDefault="00D45CC7" w:rsidP="00FC212B">
      <w:pPr>
        <w:rPr>
          <w:rFonts w:ascii="Times New Roman" w:hAnsi="Times New Roman" w:cs="Times New Roman"/>
          <w:sz w:val="24"/>
          <w:szCs w:val="24"/>
          <w:lang w:val="en-GB"/>
        </w:rPr>
      </w:pPr>
      <w:r w:rsidRPr="002261E4">
        <w:rPr>
          <w:rFonts w:ascii="Times New Roman" w:hAnsi="Times New Roman" w:cs="Times New Roman"/>
          <w:sz w:val="24"/>
          <w:szCs w:val="24"/>
        </w:rPr>
        <w:t>Kolsrud, D. &amp; Nymoen, R. (2023)</w:t>
      </w:r>
      <w:r w:rsidR="005B06A1" w:rsidRPr="002261E4">
        <w:rPr>
          <w:rFonts w:ascii="Times New Roman" w:hAnsi="Times New Roman" w:cs="Times New Roman"/>
          <w:sz w:val="24"/>
          <w:szCs w:val="24"/>
        </w:rPr>
        <w:t>.</w:t>
      </w:r>
      <w:r w:rsidR="002261E4" w:rsidRPr="002261E4">
        <w:rPr>
          <w:rFonts w:ascii="Times New Roman" w:hAnsi="Times New Roman" w:cs="Times New Roman"/>
          <w:sz w:val="24"/>
          <w:szCs w:val="24"/>
        </w:rPr>
        <w:t xml:space="preserve"> </w:t>
      </w:r>
      <w:r w:rsidR="002261E4" w:rsidRPr="00B7100D">
        <w:rPr>
          <w:rFonts w:ascii="Times New Roman" w:hAnsi="Times New Roman" w:cs="Times New Roman"/>
          <w:i/>
          <w:iCs/>
          <w:sz w:val="24"/>
          <w:szCs w:val="24"/>
        </w:rPr>
        <w:t>L</w:t>
      </w:r>
      <w:r w:rsidR="002261E4" w:rsidRPr="00B02C6B">
        <w:rPr>
          <w:rFonts w:ascii="Times New Roman" w:hAnsi="Times New Roman" w:cs="Times New Roman"/>
          <w:i/>
          <w:iCs/>
          <w:sz w:val="24"/>
          <w:szCs w:val="24"/>
        </w:rPr>
        <w:t>ø</w:t>
      </w:r>
      <w:r w:rsidR="002261E4">
        <w:rPr>
          <w:rFonts w:ascii="Times New Roman" w:hAnsi="Times New Roman" w:cs="Times New Roman"/>
          <w:i/>
          <w:iCs/>
          <w:sz w:val="24"/>
          <w:szCs w:val="24"/>
        </w:rPr>
        <w:t>nns- og prisdannelsen som stabiliseringsmekanisme i en frontfagsmodell</w:t>
      </w:r>
      <w:r w:rsidR="003F28B7">
        <w:rPr>
          <w:rFonts w:ascii="Times New Roman" w:hAnsi="Times New Roman" w:cs="Times New Roman"/>
          <w:sz w:val="24"/>
          <w:szCs w:val="24"/>
        </w:rPr>
        <w:t xml:space="preserve">. </w:t>
      </w:r>
      <w:r w:rsidR="003F28B7" w:rsidRPr="0056234F">
        <w:rPr>
          <w:rFonts w:ascii="Times New Roman" w:hAnsi="Times New Roman" w:cs="Times New Roman"/>
          <w:sz w:val="24"/>
          <w:szCs w:val="24"/>
          <w:lang w:val="en-GB"/>
        </w:rPr>
        <w:t>Oslo: Statistisk sentralbyrå</w:t>
      </w:r>
      <w:r w:rsidR="009213E6" w:rsidRPr="0056234F">
        <w:rPr>
          <w:rFonts w:ascii="Times New Roman" w:hAnsi="Times New Roman" w:cs="Times New Roman"/>
          <w:sz w:val="24"/>
          <w:szCs w:val="24"/>
          <w:lang w:val="en-GB"/>
        </w:rPr>
        <w:t>.</w:t>
      </w:r>
      <w:r w:rsidR="005B06A1" w:rsidRPr="0056234F">
        <w:rPr>
          <w:rFonts w:ascii="Times New Roman" w:hAnsi="Times New Roman" w:cs="Times New Roman"/>
          <w:sz w:val="24"/>
          <w:szCs w:val="24"/>
          <w:lang w:val="en-GB"/>
        </w:rPr>
        <w:t xml:space="preserve"> </w:t>
      </w:r>
    </w:p>
    <w:p w14:paraId="24FC529C" w14:textId="22FA2322" w:rsidR="00891DF8" w:rsidRPr="004B3447" w:rsidRDefault="00891DF8" w:rsidP="00FC212B">
      <w:pPr>
        <w:rPr>
          <w:rFonts w:ascii="Times New Roman" w:hAnsi="Times New Roman" w:cs="Times New Roman"/>
          <w:sz w:val="24"/>
          <w:szCs w:val="24"/>
          <w:lang w:val="en-GB"/>
        </w:rPr>
      </w:pPr>
      <w:r w:rsidRPr="00D25A78">
        <w:rPr>
          <w:rFonts w:ascii="Times New Roman" w:hAnsi="Times New Roman" w:cs="Times New Roman"/>
          <w:sz w:val="24"/>
          <w:szCs w:val="24"/>
          <w:lang w:val="en-GB"/>
        </w:rPr>
        <w:t xml:space="preserve">Krusell, P. </w:t>
      </w:r>
      <w:r w:rsidR="00D25A78" w:rsidRPr="00D25A78">
        <w:rPr>
          <w:rFonts w:ascii="Times New Roman" w:hAnsi="Times New Roman" w:cs="Times New Roman"/>
          <w:sz w:val="24"/>
          <w:szCs w:val="24"/>
          <w:lang w:val="en-GB"/>
        </w:rPr>
        <w:t>&amp; Rudanko, L. (2016). Un</w:t>
      </w:r>
      <w:r w:rsidR="00D25A78">
        <w:rPr>
          <w:rFonts w:ascii="Times New Roman" w:hAnsi="Times New Roman" w:cs="Times New Roman"/>
          <w:sz w:val="24"/>
          <w:szCs w:val="24"/>
          <w:lang w:val="en-GB"/>
        </w:rPr>
        <w:t xml:space="preserve">ions in a Frictional Labor Market, </w:t>
      </w:r>
      <w:r w:rsidR="003F2F2D">
        <w:rPr>
          <w:rFonts w:ascii="Times New Roman" w:hAnsi="Times New Roman" w:cs="Times New Roman"/>
          <w:i/>
          <w:iCs/>
          <w:sz w:val="24"/>
          <w:szCs w:val="24"/>
          <w:lang w:val="en-GB"/>
        </w:rPr>
        <w:t>Journal of Monetary Economics</w:t>
      </w:r>
      <w:r w:rsidR="004B3447">
        <w:rPr>
          <w:rFonts w:ascii="Times New Roman" w:hAnsi="Times New Roman" w:cs="Times New Roman"/>
          <w:sz w:val="24"/>
          <w:szCs w:val="24"/>
          <w:lang w:val="en-GB"/>
        </w:rPr>
        <w:t xml:space="preserve">, 80(C), </w:t>
      </w:r>
      <w:r w:rsidR="0050118B">
        <w:rPr>
          <w:rFonts w:ascii="Times New Roman" w:hAnsi="Times New Roman" w:cs="Times New Roman"/>
          <w:sz w:val="24"/>
          <w:szCs w:val="24"/>
          <w:lang w:val="en-GB"/>
        </w:rPr>
        <w:t>35-50.</w:t>
      </w:r>
    </w:p>
    <w:p w14:paraId="6C530960" w14:textId="39571415" w:rsidR="00172906" w:rsidRDefault="00172906" w:rsidP="00FC212B">
      <w:pPr>
        <w:rPr>
          <w:rFonts w:ascii="Times New Roman" w:hAnsi="Times New Roman" w:cs="Times New Roman"/>
          <w:sz w:val="24"/>
          <w:szCs w:val="24"/>
        </w:rPr>
      </w:pPr>
      <w:r w:rsidRPr="003A6719">
        <w:rPr>
          <w:rFonts w:ascii="Times New Roman" w:hAnsi="Times New Roman" w:cs="Times New Roman"/>
          <w:sz w:val="24"/>
          <w:szCs w:val="24"/>
        </w:rPr>
        <w:t>Konjunkturinstituet (2012)</w:t>
      </w:r>
      <w:r w:rsidR="001A1679">
        <w:rPr>
          <w:rFonts w:ascii="Times New Roman" w:hAnsi="Times New Roman" w:cs="Times New Roman"/>
          <w:sz w:val="24"/>
          <w:szCs w:val="24"/>
        </w:rPr>
        <w:t>.</w:t>
      </w:r>
      <w:r w:rsidR="003A6719" w:rsidRPr="003A6719">
        <w:rPr>
          <w:rFonts w:ascii="Times New Roman" w:hAnsi="Times New Roman" w:cs="Times New Roman"/>
          <w:sz w:val="24"/>
          <w:szCs w:val="24"/>
        </w:rPr>
        <w:t xml:space="preserve"> </w:t>
      </w:r>
      <w:r w:rsidR="003A6719" w:rsidRPr="003A6719">
        <w:rPr>
          <w:rFonts w:ascii="Times New Roman" w:hAnsi="Times New Roman" w:cs="Times New Roman"/>
          <w:i/>
          <w:iCs/>
          <w:sz w:val="24"/>
          <w:szCs w:val="24"/>
        </w:rPr>
        <w:t>Lönebildningsrapporten</w:t>
      </w:r>
      <w:r w:rsidR="003A6719" w:rsidRPr="003A6719">
        <w:rPr>
          <w:rFonts w:ascii="Times New Roman" w:hAnsi="Times New Roman" w:cs="Times New Roman"/>
          <w:sz w:val="24"/>
          <w:szCs w:val="24"/>
        </w:rPr>
        <w:t>. S</w:t>
      </w:r>
      <w:r w:rsidR="003A6719">
        <w:rPr>
          <w:rFonts w:ascii="Times New Roman" w:hAnsi="Times New Roman" w:cs="Times New Roman"/>
          <w:sz w:val="24"/>
          <w:szCs w:val="24"/>
        </w:rPr>
        <w:t>tockholm.</w:t>
      </w:r>
    </w:p>
    <w:p w14:paraId="6C7D0D00" w14:textId="0CC19DD1" w:rsidR="004504FB" w:rsidRDefault="004504FB" w:rsidP="004504FB">
      <w:pPr>
        <w:rPr>
          <w:rFonts w:ascii="Times New Roman" w:hAnsi="Times New Roman" w:cs="Times New Roman"/>
          <w:sz w:val="24"/>
          <w:szCs w:val="24"/>
        </w:rPr>
      </w:pPr>
      <w:r w:rsidRPr="003A6719">
        <w:rPr>
          <w:rFonts w:ascii="Times New Roman" w:hAnsi="Times New Roman" w:cs="Times New Roman"/>
          <w:sz w:val="24"/>
          <w:szCs w:val="24"/>
        </w:rPr>
        <w:t>Konjunkturinstituet (201</w:t>
      </w:r>
      <w:r>
        <w:rPr>
          <w:rFonts w:ascii="Times New Roman" w:hAnsi="Times New Roman" w:cs="Times New Roman"/>
          <w:sz w:val="24"/>
          <w:szCs w:val="24"/>
        </w:rPr>
        <w:t>6</w:t>
      </w:r>
      <w:r w:rsidRPr="003A6719">
        <w:rPr>
          <w:rFonts w:ascii="Times New Roman" w:hAnsi="Times New Roman" w:cs="Times New Roman"/>
          <w:sz w:val="24"/>
          <w:szCs w:val="24"/>
        </w:rPr>
        <w:t>)</w:t>
      </w:r>
      <w:r>
        <w:rPr>
          <w:rFonts w:ascii="Times New Roman" w:hAnsi="Times New Roman" w:cs="Times New Roman"/>
          <w:sz w:val="24"/>
          <w:szCs w:val="24"/>
        </w:rPr>
        <w:t>.</w:t>
      </w:r>
      <w:r w:rsidRPr="003A6719">
        <w:rPr>
          <w:rFonts w:ascii="Times New Roman" w:hAnsi="Times New Roman" w:cs="Times New Roman"/>
          <w:sz w:val="24"/>
          <w:szCs w:val="24"/>
        </w:rPr>
        <w:t xml:space="preserve"> </w:t>
      </w:r>
      <w:r w:rsidRPr="003A6719">
        <w:rPr>
          <w:rFonts w:ascii="Times New Roman" w:hAnsi="Times New Roman" w:cs="Times New Roman"/>
          <w:i/>
          <w:iCs/>
          <w:sz w:val="24"/>
          <w:szCs w:val="24"/>
        </w:rPr>
        <w:t>Lönebildningsrapporten</w:t>
      </w:r>
      <w:r w:rsidRPr="003A6719">
        <w:rPr>
          <w:rFonts w:ascii="Times New Roman" w:hAnsi="Times New Roman" w:cs="Times New Roman"/>
          <w:sz w:val="24"/>
          <w:szCs w:val="24"/>
        </w:rPr>
        <w:t>. S</w:t>
      </w:r>
      <w:r>
        <w:rPr>
          <w:rFonts w:ascii="Times New Roman" w:hAnsi="Times New Roman" w:cs="Times New Roman"/>
          <w:sz w:val="24"/>
          <w:szCs w:val="24"/>
        </w:rPr>
        <w:t>tockholm.</w:t>
      </w:r>
    </w:p>
    <w:p w14:paraId="02F1DD04" w14:textId="7DB5A48F" w:rsidR="001A1679" w:rsidRPr="008445E3" w:rsidRDefault="001A1679" w:rsidP="00FC212B">
      <w:pPr>
        <w:rPr>
          <w:rFonts w:ascii="Times New Roman" w:hAnsi="Times New Roman" w:cs="Times New Roman"/>
          <w:sz w:val="24"/>
          <w:szCs w:val="24"/>
          <w:lang w:val="en-GB"/>
        </w:rPr>
      </w:pPr>
      <w:r>
        <w:rPr>
          <w:rFonts w:ascii="Times New Roman" w:hAnsi="Times New Roman" w:cs="Times New Roman"/>
          <w:sz w:val="24"/>
          <w:szCs w:val="24"/>
        </w:rPr>
        <w:t xml:space="preserve">Konjunkturinstitutet (2020). </w:t>
      </w:r>
      <w:r>
        <w:rPr>
          <w:rFonts w:ascii="Times New Roman" w:hAnsi="Times New Roman" w:cs="Times New Roman"/>
          <w:i/>
          <w:iCs/>
          <w:sz w:val="24"/>
          <w:szCs w:val="24"/>
        </w:rPr>
        <w:t>Hållbarhetsrapport för de offentliga finanserna</w:t>
      </w:r>
      <w:r>
        <w:rPr>
          <w:rFonts w:ascii="Times New Roman" w:hAnsi="Times New Roman" w:cs="Times New Roman"/>
          <w:sz w:val="24"/>
          <w:szCs w:val="24"/>
        </w:rPr>
        <w:t xml:space="preserve">. </w:t>
      </w:r>
      <w:r w:rsidRPr="008445E3">
        <w:rPr>
          <w:rFonts w:ascii="Times New Roman" w:hAnsi="Times New Roman" w:cs="Times New Roman"/>
          <w:sz w:val="24"/>
          <w:szCs w:val="24"/>
          <w:lang w:val="en-GB"/>
        </w:rPr>
        <w:t>Stockholm.</w:t>
      </w:r>
    </w:p>
    <w:p w14:paraId="4A82822C" w14:textId="5B6A82CD" w:rsidR="00474075" w:rsidRDefault="00474075" w:rsidP="00FC212B">
      <w:pPr>
        <w:rPr>
          <w:rFonts w:ascii="Times New Roman" w:hAnsi="Times New Roman" w:cs="Times New Roman"/>
          <w:sz w:val="24"/>
          <w:szCs w:val="24"/>
          <w:lang w:val="en-GB"/>
        </w:rPr>
      </w:pPr>
      <w:r w:rsidRPr="008445E3">
        <w:rPr>
          <w:rFonts w:ascii="Times New Roman" w:hAnsi="Times New Roman" w:cs="Times New Roman"/>
          <w:sz w:val="24"/>
          <w:szCs w:val="24"/>
          <w:lang w:val="en-GB"/>
        </w:rPr>
        <w:t xml:space="preserve">Kuuskoski, K. </w:t>
      </w:r>
      <w:r w:rsidR="00315144" w:rsidRPr="008445E3">
        <w:rPr>
          <w:rFonts w:ascii="Times New Roman" w:hAnsi="Times New Roman" w:cs="Times New Roman"/>
          <w:sz w:val="24"/>
          <w:szCs w:val="24"/>
          <w:lang w:val="en-GB"/>
        </w:rPr>
        <w:t>(2024).</w:t>
      </w:r>
      <w:r w:rsidR="00327C88" w:rsidRPr="008445E3">
        <w:rPr>
          <w:rFonts w:ascii="Times New Roman" w:hAnsi="Times New Roman" w:cs="Times New Roman"/>
          <w:sz w:val="24"/>
          <w:szCs w:val="24"/>
          <w:lang w:val="en-GB"/>
        </w:rPr>
        <w:t xml:space="preserve"> </w:t>
      </w:r>
      <w:r w:rsidR="00327C88" w:rsidRPr="0056234F">
        <w:rPr>
          <w:rFonts w:ascii="Times New Roman" w:hAnsi="Times New Roman" w:cs="Times New Roman"/>
          <w:i/>
          <w:iCs/>
          <w:sz w:val="24"/>
          <w:szCs w:val="24"/>
          <w:lang w:val="en-GB"/>
        </w:rPr>
        <w:t>From Income Policy to the Finnish Model</w:t>
      </w:r>
      <w:r w:rsidR="00327C88" w:rsidRPr="0056234F">
        <w:rPr>
          <w:rFonts w:ascii="Times New Roman" w:hAnsi="Times New Roman" w:cs="Times New Roman"/>
          <w:sz w:val="24"/>
          <w:szCs w:val="24"/>
          <w:lang w:val="en-GB"/>
        </w:rPr>
        <w:t xml:space="preserve">. </w:t>
      </w:r>
      <w:r w:rsidR="00F86B87">
        <w:rPr>
          <w:rFonts w:ascii="Times New Roman" w:hAnsi="Times New Roman" w:cs="Times New Roman"/>
          <w:sz w:val="24"/>
          <w:szCs w:val="24"/>
          <w:lang w:val="en-GB"/>
        </w:rPr>
        <w:t>Ma</w:t>
      </w:r>
      <w:r w:rsidR="000B7442">
        <w:rPr>
          <w:rFonts w:ascii="Times New Roman" w:hAnsi="Times New Roman" w:cs="Times New Roman"/>
          <w:sz w:val="24"/>
          <w:szCs w:val="24"/>
          <w:lang w:val="en-GB"/>
        </w:rPr>
        <w:t>s</w:t>
      </w:r>
      <w:r w:rsidR="00F86B87">
        <w:rPr>
          <w:rFonts w:ascii="Times New Roman" w:hAnsi="Times New Roman" w:cs="Times New Roman"/>
          <w:sz w:val="24"/>
          <w:szCs w:val="24"/>
          <w:lang w:val="en-GB"/>
        </w:rPr>
        <w:t>ter’s Thesis</w:t>
      </w:r>
      <w:r w:rsidR="008D1CE9">
        <w:rPr>
          <w:rFonts w:ascii="Times New Roman" w:hAnsi="Times New Roman" w:cs="Times New Roman"/>
          <w:sz w:val="24"/>
          <w:szCs w:val="24"/>
          <w:lang w:val="en-GB"/>
        </w:rPr>
        <w:t>. University of Helsinki.</w:t>
      </w:r>
    </w:p>
    <w:p w14:paraId="26EBE051" w14:textId="47D67224" w:rsidR="00B43642" w:rsidRPr="00D87E9D" w:rsidRDefault="00AA6B85" w:rsidP="00FC212B">
      <w:pPr>
        <w:rPr>
          <w:rFonts w:ascii="Times New Roman" w:hAnsi="Times New Roman" w:cs="Times New Roman"/>
          <w:sz w:val="24"/>
          <w:szCs w:val="24"/>
        </w:rPr>
      </w:pPr>
      <w:r>
        <w:rPr>
          <w:rFonts w:ascii="Times New Roman" w:hAnsi="Times New Roman" w:cs="Times New Roman"/>
          <w:sz w:val="24"/>
          <w:szCs w:val="24"/>
          <w:lang w:val="en-GB"/>
        </w:rPr>
        <w:t>Lamo, A., Pérez, J. &amp; Schuknecht, L. (2012)</w:t>
      </w:r>
      <w:r w:rsidR="009E2695">
        <w:rPr>
          <w:rFonts w:ascii="Times New Roman" w:hAnsi="Times New Roman" w:cs="Times New Roman"/>
          <w:sz w:val="24"/>
          <w:szCs w:val="24"/>
          <w:lang w:val="en-GB"/>
        </w:rPr>
        <w:t xml:space="preserve">. Public or Private Sector Leadership? </w:t>
      </w:r>
      <w:r w:rsidR="009E2695" w:rsidRPr="00D87E9D">
        <w:rPr>
          <w:rFonts w:ascii="Times New Roman" w:hAnsi="Times New Roman" w:cs="Times New Roman"/>
          <w:sz w:val="24"/>
          <w:szCs w:val="24"/>
        </w:rPr>
        <w:t xml:space="preserve">An International Perspective, </w:t>
      </w:r>
      <w:r w:rsidR="009E2695" w:rsidRPr="00D87E9D">
        <w:rPr>
          <w:rFonts w:ascii="Times New Roman" w:hAnsi="Times New Roman" w:cs="Times New Roman"/>
          <w:i/>
          <w:iCs/>
          <w:sz w:val="24"/>
          <w:szCs w:val="24"/>
        </w:rPr>
        <w:t>Scandinavian Jouranl of Economics</w:t>
      </w:r>
      <w:r w:rsidR="00956C9C" w:rsidRPr="00D87E9D">
        <w:rPr>
          <w:rFonts w:ascii="Times New Roman" w:hAnsi="Times New Roman" w:cs="Times New Roman"/>
          <w:sz w:val="24"/>
          <w:szCs w:val="24"/>
        </w:rPr>
        <w:t>, (114(1), 228-244.</w:t>
      </w:r>
    </w:p>
    <w:p w14:paraId="2389B7FD" w14:textId="6C7ECCCD" w:rsidR="001F7695" w:rsidRPr="00285E41" w:rsidRDefault="001F7695" w:rsidP="00FC212B">
      <w:pPr>
        <w:rPr>
          <w:rFonts w:ascii="Times New Roman" w:hAnsi="Times New Roman" w:cs="Times New Roman"/>
          <w:sz w:val="24"/>
          <w:szCs w:val="24"/>
        </w:rPr>
      </w:pPr>
      <w:r w:rsidRPr="00285E41">
        <w:rPr>
          <w:rFonts w:ascii="Times New Roman" w:hAnsi="Times New Roman" w:cs="Times New Roman"/>
          <w:sz w:val="24"/>
          <w:szCs w:val="24"/>
        </w:rPr>
        <w:t>Lang</w:t>
      </w:r>
      <w:r w:rsidRPr="001F7695">
        <w:rPr>
          <w:rFonts w:ascii="Times New Roman" w:hAnsi="Times New Roman" w:cs="Times New Roman"/>
          <w:sz w:val="24"/>
          <w:szCs w:val="24"/>
        </w:rPr>
        <w:t>ø</w:t>
      </w:r>
      <w:r>
        <w:rPr>
          <w:rFonts w:ascii="Times New Roman" w:hAnsi="Times New Roman" w:cs="Times New Roman"/>
          <w:sz w:val="24"/>
          <w:szCs w:val="24"/>
        </w:rPr>
        <w:t>rgen</w:t>
      </w:r>
      <w:r w:rsidR="00E53049">
        <w:rPr>
          <w:rFonts w:ascii="Times New Roman" w:hAnsi="Times New Roman" w:cs="Times New Roman"/>
          <w:sz w:val="24"/>
          <w:szCs w:val="24"/>
        </w:rPr>
        <w:t xml:space="preserve">, A. (1993). </w:t>
      </w:r>
      <w:r w:rsidR="00E53049" w:rsidRPr="005B06A1">
        <w:rPr>
          <w:rFonts w:ascii="Times New Roman" w:hAnsi="Times New Roman" w:cs="Times New Roman"/>
          <w:i/>
          <w:iCs/>
          <w:sz w:val="24"/>
          <w:szCs w:val="24"/>
        </w:rPr>
        <w:t>En</w:t>
      </w:r>
      <w:r w:rsidR="0091780B" w:rsidRPr="005B06A1">
        <w:rPr>
          <w:rFonts w:ascii="Times New Roman" w:hAnsi="Times New Roman" w:cs="Times New Roman"/>
          <w:i/>
          <w:iCs/>
          <w:sz w:val="24"/>
          <w:szCs w:val="24"/>
        </w:rPr>
        <w:t xml:space="preserve"> økonometrisk analyse av lønnsdannelsen i Norge</w:t>
      </w:r>
      <w:r w:rsidR="00285E41">
        <w:rPr>
          <w:rFonts w:ascii="Times New Roman" w:hAnsi="Times New Roman" w:cs="Times New Roman"/>
          <w:sz w:val="24"/>
          <w:szCs w:val="24"/>
        </w:rPr>
        <w:t>. Rapport 5. Osl</w:t>
      </w:r>
      <w:r w:rsidR="005D3321">
        <w:rPr>
          <w:rFonts w:ascii="Times New Roman" w:hAnsi="Times New Roman" w:cs="Times New Roman"/>
          <w:sz w:val="24"/>
          <w:szCs w:val="24"/>
        </w:rPr>
        <w:t>o: Statistisk sentralbyrå.</w:t>
      </w:r>
      <w:r w:rsidR="00E53049">
        <w:rPr>
          <w:rFonts w:ascii="Times New Roman" w:hAnsi="Times New Roman" w:cs="Times New Roman"/>
          <w:sz w:val="24"/>
          <w:szCs w:val="24"/>
        </w:rPr>
        <w:t xml:space="preserve"> </w:t>
      </w:r>
    </w:p>
    <w:p w14:paraId="656C231B" w14:textId="7AC490CD" w:rsidR="00C90505" w:rsidRDefault="00C90505" w:rsidP="00FC212B">
      <w:pPr>
        <w:rPr>
          <w:rFonts w:ascii="Times New Roman" w:hAnsi="Times New Roman" w:cs="Times New Roman"/>
          <w:sz w:val="24"/>
          <w:szCs w:val="24"/>
        </w:rPr>
      </w:pPr>
      <w:r w:rsidRPr="00285E41">
        <w:rPr>
          <w:rFonts w:ascii="Times New Roman" w:hAnsi="Times New Roman" w:cs="Times New Roman"/>
          <w:sz w:val="24"/>
          <w:szCs w:val="24"/>
        </w:rPr>
        <w:t xml:space="preserve">Lønstrukturkomitéen </w:t>
      </w:r>
      <w:r w:rsidR="001539B4" w:rsidRPr="00285E41">
        <w:rPr>
          <w:rFonts w:ascii="Times New Roman" w:hAnsi="Times New Roman" w:cs="Times New Roman"/>
          <w:sz w:val="24"/>
          <w:szCs w:val="24"/>
        </w:rPr>
        <w:t>(</w:t>
      </w:r>
      <w:r w:rsidRPr="00285E41">
        <w:rPr>
          <w:rFonts w:ascii="Times New Roman" w:hAnsi="Times New Roman" w:cs="Times New Roman"/>
          <w:sz w:val="24"/>
          <w:szCs w:val="24"/>
        </w:rPr>
        <w:t>2023</w:t>
      </w:r>
      <w:r w:rsidR="001539B4" w:rsidRPr="00285E41">
        <w:rPr>
          <w:rFonts w:ascii="Times New Roman" w:hAnsi="Times New Roman" w:cs="Times New Roman"/>
          <w:sz w:val="24"/>
          <w:szCs w:val="24"/>
        </w:rPr>
        <w:t>)</w:t>
      </w:r>
      <w:r w:rsidR="005B29F7" w:rsidRPr="00285E41">
        <w:rPr>
          <w:rFonts w:ascii="Times New Roman" w:hAnsi="Times New Roman" w:cs="Times New Roman"/>
          <w:sz w:val="24"/>
          <w:szCs w:val="24"/>
        </w:rPr>
        <w:t xml:space="preserve">. </w:t>
      </w:r>
      <w:r w:rsidR="005B29F7" w:rsidRPr="003E2A05">
        <w:rPr>
          <w:rFonts w:ascii="Times New Roman" w:hAnsi="Times New Roman" w:cs="Times New Roman"/>
          <w:i/>
          <w:iCs/>
          <w:sz w:val="24"/>
          <w:szCs w:val="24"/>
        </w:rPr>
        <w:t>Hovedrapport</w:t>
      </w:r>
      <w:r w:rsidR="005B29F7" w:rsidRPr="003E2A05">
        <w:rPr>
          <w:rFonts w:ascii="Times New Roman" w:hAnsi="Times New Roman" w:cs="Times New Roman"/>
          <w:sz w:val="24"/>
          <w:szCs w:val="24"/>
        </w:rPr>
        <w:t>. Copen</w:t>
      </w:r>
      <w:r w:rsidR="003E2A05" w:rsidRPr="003E2A05">
        <w:rPr>
          <w:rFonts w:ascii="Times New Roman" w:hAnsi="Times New Roman" w:cs="Times New Roman"/>
          <w:sz w:val="24"/>
          <w:szCs w:val="24"/>
        </w:rPr>
        <w:t>hagen.</w:t>
      </w:r>
    </w:p>
    <w:p w14:paraId="3B43C8B9" w14:textId="1FB6F634" w:rsidR="00094CBA" w:rsidRPr="000D2E5F" w:rsidRDefault="00094CBA" w:rsidP="00FC212B">
      <w:pPr>
        <w:rPr>
          <w:rFonts w:ascii="Times New Roman" w:hAnsi="Times New Roman" w:cs="Times New Roman"/>
          <w:sz w:val="24"/>
          <w:szCs w:val="24"/>
        </w:rPr>
      </w:pPr>
      <w:r>
        <w:rPr>
          <w:rFonts w:ascii="Times New Roman" w:hAnsi="Times New Roman" w:cs="Times New Roman"/>
          <w:sz w:val="24"/>
          <w:szCs w:val="24"/>
        </w:rPr>
        <w:t xml:space="preserve">Medlingsinstitutet (2018). </w:t>
      </w:r>
      <w:r w:rsidR="00656C56">
        <w:rPr>
          <w:rFonts w:ascii="Times New Roman" w:hAnsi="Times New Roman" w:cs="Times New Roman"/>
          <w:i/>
          <w:iCs/>
          <w:sz w:val="24"/>
          <w:szCs w:val="24"/>
        </w:rPr>
        <w:t>Yrke, lön och kön</w:t>
      </w:r>
      <w:r w:rsidR="008A102D">
        <w:rPr>
          <w:rFonts w:ascii="Times New Roman" w:hAnsi="Times New Roman" w:cs="Times New Roman"/>
          <w:i/>
          <w:iCs/>
          <w:sz w:val="24"/>
          <w:szCs w:val="24"/>
        </w:rPr>
        <w:t>: En kartläggning av löneläget för 383 yrken mellan 2014 och 2917 – ett jämställdhetsperspektiv</w:t>
      </w:r>
      <w:r w:rsidR="000D2E5F">
        <w:rPr>
          <w:rFonts w:ascii="Times New Roman" w:hAnsi="Times New Roman" w:cs="Times New Roman"/>
          <w:sz w:val="24"/>
          <w:szCs w:val="24"/>
        </w:rPr>
        <w:t>. Stockholm.</w:t>
      </w:r>
    </w:p>
    <w:p w14:paraId="220EAAD6" w14:textId="339991E1" w:rsidR="001A4E12" w:rsidRDefault="001A4E12" w:rsidP="00FC212B">
      <w:pPr>
        <w:rPr>
          <w:rFonts w:ascii="Times New Roman" w:hAnsi="Times New Roman" w:cs="Times New Roman"/>
          <w:sz w:val="24"/>
          <w:szCs w:val="24"/>
        </w:rPr>
      </w:pPr>
      <w:r>
        <w:rPr>
          <w:rFonts w:ascii="Times New Roman" w:hAnsi="Times New Roman" w:cs="Times New Roman"/>
          <w:sz w:val="24"/>
          <w:szCs w:val="24"/>
        </w:rPr>
        <w:t>Medlingsinsti</w:t>
      </w:r>
      <w:r w:rsidR="00F9220D">
        <w:rPr>
          <w:rFonts w:ascii="Times New Roman" w:hAnsi="Times New Roman" w:cs="Times New Roman"/>
          <w:sz w:val="24"/>
          <w:szCs w:val="24"/>
        </w:rPr>
        <w:t>t</w:t>
      </w:r>
      <w:r>
        <w:rPr>
          <w:rFonts w:ascii="Times New Roman" w:hAnsi="Times New Roman" w:cs="Times New Roman"/>
          <w:sz w:val="24"/>
          <w:szCs w:val="24"/>
        </w:rPr>
        <w:t>utet (20</w:t>
      </w:r>
      <w:r w:rsidR="0003619E">
        <w:rPr>
          <w:rFonts w:ascii="Times New Roman" w:hAnsi="Times New Roman" w:cs="Times New Roman"/>
          <w:sz w:val="24"/>
          <w:szCs w:val="24"/>
        </w:rPr>
        <w:t>24</w:t>
      </w:r>
      <w:r w:rsidR="00241CFA">
        <w:rPr>
          <w:rFonts w:ascii="Times New Roman" w:hAnsi="Times New Roman" w:cs="Times New Roman"/>
          <w:sz w:val="24"/>
          <w:szCs w:val="24"/>
        </w:rPr>
        <w:t>)</w:t>
      </w:r>
      <w:r w:rsidR="00BA5F8D">
        <w:rPr>
          <w:rFonts w:ascii="Times New Roman" w:hAnsi="Times New Roman" w:cs="Times New Roman"/>
          <w:sz w:val="24"/>
          <w:szCs w:val="24"/>
        </w:rPr>
        <w:t>.</w:t>
      </w:r>
      <w:r w:rsidR="0003619E">
        <w:rPr>
          <w:rFonts w:ascii="Times New Roman" w:hAnsi="Times New Roman" w:cs="Times New Roman"/>
          <w:sz w:val="24"/>
          <w:szCs w:val="24"/>
        </w:rPr>
        <w:t xml:space="preserve"> </w:t>
      </w:r>
      <w:r w:rsidR="00776FB9" w:rsidRPr="00BA5F8D">
        <w:rPr>
          <w:rFonts w:ascii="Times New Roman" w:hAnsi="Times New Roman" w:cs="Times New Roman"/>
          <w:i/>
          <w:iCs/>
          <w:sz w:val="24"/>
          <w:szCs w:val="24"/>
        </w:rPr>
        <w:t>Avtalsrörelsen och lönebildningen 2023</w:t>
      </w:r>
      <w:r w:rsidR="00776FB9">
        <w:rPr>
          <w:rFonts w:ascii="Times New Roman" w:hAnsi="Times New Roman" w:cs="Times New Roman"/>
          <w:sz w:val="24"/>
          <w:szCs w:val="24"/>
        </w:rPr>
        <w:t>.</w:t>
      </w:r>
      <w:r w:rsidR="005B197C">
        <w:rPr>
          <w:rFonts w:ascii="Times New Roman" w:hAnsi="Times New Roman" w:cs="Times New Roman"/>
          <w:sz w:val="24"/>
          <w:szCs w:val="24"/>
        </w:rPr>
        <w:t xml:space="preserve"> </w:t>
      </w:r>
      <w:r w:rsidR="00776FB9">
        <w:rPr>
          <w:rFonts w:ascii="Times New Roman" w:hAnsi="Times New Roman" w:cs="Times New Roman"/>
          <w:sz w:val="24"/>
          <w:szCs w:val="24"/>
        </w:rPr>
        <w:t>Årsrapport</w:t>
      </w:r>
      <w:r w:rsidR="00BA5F8D">
        <w:rPr>
          <w:rFonts w:ascii="Times New Roman" w:hAnsi="Times New Roman" w:cs="Times New Roman"/>
          <w:sz w:val="24"/>
          <w:szCs w:val="24"/>
        </w:rPr>
        <w:t>. Stockholm.</w:t>
      </w:r>
    </w:p>
    <w:p w14:paraId="41B2EE35" w14:textId="28F7FFE0" w:rsidR="00A92917" w:rsidRPr="00D87E9D" w:rsidRDefault="00A92917" w:rsidP="00FC212B">
      <w:pPr>
        <w:rPr>
          <w:rStyle w:val="hgkelc"/>
          <w:rFonts w:ascii="Times New Roman" w:hAnsi="Times New Roman" w:cs="Times New Roman"/>
          <w:sz w:val="24"/>
          <w:szCs w:val="24"/>
          <w:lang w:val="en-GB"/>
        </w:rPr>
      </w:pPr>
      <w:r w:rsidRPr="00A92917">
        <w:rPr>
          <w:rFonts w:ascii="Times New Roman" w:hAnsi="Times New Roman" w:cs="Times New Roman"/>
          <w:sz w:val="24"/>
          <w:szCs w:val="24"/>
        </w:rPr>
        <w:t>M</w:t>
      </w:r>
      <w:r w:rsidRPr="00A92917">
        <w:rPr>
          <w:rStyle w:val="hgkelc"/>
          <w:rFonts w:ascii="Times New Roman" w:hAnsi="Times New Roman" w:cs="Times New Roman"/>
          <w:sz w:val="24"/>
          <w:szCs w:val="24"/>
        </w:rPr>
        <w:t>üller</w:t>
      </w:r>
      <w:r>
        <w:rPr>
          <w:rStyle w:val="hgkelc"/>
          <w:rFonts w:ascii="Times New Roman" w:hAnsi="Times New Roman" w:cs="Times New Roman"/>
          <w:sz w:val="24"/>
          <w:szCs w:val="24"/>
        </w:rPr>
        <w:t>, T., D</w:t>
      </w:r>
      <w:r w:rsidRPr="003E2A05">
        <w:rPr>
          <w:rFonts w:ascii="Times New Roman" w:hAnsi="Times New Roman" w:cs="Times New Roman"/>
          <w:sz w:val="24"/>
          <w:szCs w:val="24"/>
        </w:rPr>
        <w:t>ø</w:t>
      </w:r>
      <w:r>
        <w:rPr>
          <w:rFonts w:ascii="Times New Roman" w:hAnsi="Times New Roman" w:cs="Times New Roman"/>
          <w:sz w:val="24"/>
          <w:szCs w:val="24"/>
        </w:rPr>
        <w:t>lvik, J.E., Ibsen, C. &amp; Schulten, T.</w:t>
      </w:r>
      <w:r w:rsidRPr="00A92917">
        <w:rPr>
          <w:rStyle w:val="hgkelc"/>
          <w:rFonts w:ascii="Times New Roman" w:hAnsi="Times New Roman" w:cs="Times New Roman"/>
          <w:sz w:val="24"/>
          <w:szCs w:val="24"/>
        </w:rPr>
        <w:t xml:space="preserve"> (2018)</w:t>
      </w:r>
      <w:r>
        <w:rPr>
          <w:rStyle w:val="hgkelc"/>
          <w:rFonts w:ascii="Times New Roman" w:hAnsi="Times New Roman" w:cs="Times New Roman"/>
          <w:sz w:val="24"/>
          <w:szCs w:val="24"/>
        </w:rPr>
        <w:t xml:space="preserve">. </w:t>
      </w:r>
      <w:r w:rsidRPr="00A92917">
        <w:rPr>
          <w:rStyle w:val="hgkelc"/>
          <w:rFonts w:ascii="Times New Roman" w:hAnsi="Times New Roman" w:cs="Times New Roman"/>
          <w:sz w:val="24"/>
          <w:szCs w:val="24"/>
          <w:lang w:val="en-GB"/>
        </w:rPr>
        <w:t>The Manufacturing Sector: Still an Anchor for P</w:t>
      </w:r>
      <w:r>
        <w:rPr>
          <w:rStyle w:val="hgkelc"/>
          <w:rFonts w:ascii="Times New Roman" w:hAnsi="Times New Roman" w:cs="Times New Roman"/>
          <w:sz w:val="24"/>
          <w:szCs w:val="24"/>
          <w:lang w:val="en-GB"/>
        </w:rPr>
        <w:t>attern Bargaining within and across Countries?</w:t>
      </w:r>
      <w:r w:rsidR="001C3EE3">
        <w:rPr>
          <w:rStyle w:val="hgkelc"/>
          <w:rFonts w:ascii="Times New Roman" w:hAnsi="Times New Roman" w:cs="Times New Roman"/>
          <w:sz w:val="24"/>
          <w:szCs w:val="24"/>
          <w:lang w:val="en-GB"/>
        </w:rPr>
        <w:t xml:space="preserve"> </w:t>
      </w:r>
      <w:r w:rsidRPr="00D87E9D">
        <w:rPr>
          <w:rStyle w:val="hgkelc"/>
          <w:rFonts w:ascii="Times New Roman" w:hAnsi="Times New Roman" w:cs="Times New Roman"/>
          <w:i/>
          <w:iCs/>
          <w:sz w:val="24"/>
          <w:szCs w:val="24"/>
          <w:lang w:val="en-GB"/>
        </w:rPr>
        <w:t>European Journal of Industrial Relations</w:t>
      </w:r>
      <w:r w:rsidR="0035214C" w:rsidRPr="00D87E9D">
        <w:rPr>
          <w:rStyle w:val="hgkelc"/>
          <w:rFonts w:ascii="Times New Roman" w:hAnsi="Times New Roman" w:cs="Times New Roman"/>
          <w:sz w:val="24"/>
          <w:szCs w:val="24"/>
          <w:lang w:val="en-GB"/>
        </w:rPr>
        <w:t>, 24(4), 357-372.</w:t>
      </w:r>
    </w:p>
    <w:p w14:paraId="7097FA90" w14:textId="68D3DF7D" w:rsidR="001171BF" w:rsidRDefault="001171BF" w:rsidP="00FC212B">
      <w:pPr>
        <w:rPr>
          <w:rStyle w:val="hgkelc"/>
          <w:rFonts w:ascii="Times New Roman" w:hAnsi="Times New Roman" w:cs="Times New Roman"/>
          <w:sz w:val="24"/>
          <w:szCs w:val="24"/>
          <w:lang w:val="en-GB"/>
        </w:rPr>
      </w:pPr>
      <w:r w:rsidRPr="00DD56EA">
        <w:rPr>
          <w:rStyle w:val="hgkelc"/>
          <w:rFonts w:ascii="Times New Roman" w:hAnsi="Times New Roman" w:cs="Times New Roman"/>
          <w:sz w:val="24"/>
          <w:szCs w:val="24"/>
          <w:lang w:val="en-GB"/>
        </w:rPr>
        <w:t>Nymoen, R. (1989)</w:t>
      </w:r>
      <w:r w:rsidR="00DD56EA" w:rsidRPr="00DD56EA">
        <w:rPr>
          <w:rStyle w:val="hgkelc"/>
          <w:rFonts w:ascii="Times New Roman" w:hAnsi="Times New Roman" w:cs="Times New Roman"/>
          <w:sz w:val="24"/>
          <w:szCs w:val="24"/>
          <w:lang w:val="en-GB"/>
        </w:rPr>
        <w:t>. Modelling Wages in</w:t>
      </w:r>
      <w:r w:rsidR="00DD56EA">
        <w:rPr>
          <w:rStyle w:val="hgkelc"/>
          <w:rFonts w:ascii="Times New Roman" w:hAnsi="Times New Roman" w:cs="Times New Roman"/>
          <w:sz w:val="24"/>
          <w:szCs w:val="24"/>
          <w:lang w:val="en-GB"/>
        </w:rPr>
        <w:t xml:space="preserve"> the Small Open Economy</w:t>
      </w:r>
      <w:r w:rsidR="0029541E">
        <w:rPr>
          <w:rStyle w:val="hgkelc"/>
          <w:rFonts w:ascii="Times New Roman" w:hAnsi="Times New Roman" w:cs="Times New Roman"/>
          <w:sz w:val="24"/>
          <w:szCs w:val="24"/>
          <w:lang w:val="en-GB"/>
        </w:rPr>
        <w:t>: An Error-Correction Model of Norwegian Manufacturing Wages</w:t>
      </w:r>
      <w:r w:rsidR="00F809E0">
        <w:rPr>
          <w:rStyle w:val="hgkelc"/>
          <w:rFonts w:ascii="Times New Roman" w:hAnsi="Times New Roman" w:cs="Times New Roman"/>
          <w:sz w:val="24"/>
          <w:szCs w:val="24"/>
          <w:lang w:val="en-GB"/>
        </w:rPr>
        <w:t xml:space="preserve">, </w:t>
      </w:r>
      <w:r w:rsidR="00F809E0">
        <w:rPr>
          <w:rStyle w:val="hgkelc"/>
          <w:rFonts w:ascii="Times New Roman" w:hAnsi="Times New Roman" w:cs="Times New Roman"/>
          <w:i/>
          <w:iCs/>
          <w:sz w:val="24"/>
          <w:szCs w:val="24"/>
          <w:lang w:val="en-GB"/>
        </w:rPr>
        <w:t xml:space="preserve">Oxford Bulletin </w:t>
      </w:r>
      <w:r w:rsidR="000544E1">
        <w:rPr>
          <w:rStyle w:val="hgkelc"/>
          <w:rFonts w:ascii="Times New Roman" w:hAnsi="Times New Roman" w:cs="Times New Roman"/>
          <w:i/>
          <w:iCs/>
          <w:sz w:val="24"/>
          <w:szCs w:val="24"/>
          <w:lang w:val="en-GB"/>
        </w:rPr>
        <w:t xml:space="preserve">of Economics and Statistics, </w:t>
      </w:r>
      <w:r w:rsidR="000544E1" w:rsidRPr="00D926E0">
        <w:rPr>
          <w:rStyle w:val="hgkelc"/>
          <w:rFonts w:ascii="Times New Roman" w:hAnsi="Times New Roman" w:cs="Times New Roman"/>
          <w:sz w:val="24"/>
          <w:szCs w:val="24"/>
          <w:lang w:val="en-GB"/>
        </w:rPr>
        <w:t>51</w:t>
      </w:r>
      <w:r w:rsidR="00D926E0" w:rsidRPr="00D926E0">
        <w:rPr>
          <w:rStyle w:val="hgkelc"/>
          <w:rFonts w:ascii="Times New Roman" w:hAnsi="Times New Roman" w:cs="Times New Roman"/>
          <w:sz w:val="24"/>
          <w:szCs w:val="24"/>
          <w:lang w:val="en-GB"/>
        </w:rPr>
        <w:t>,</w:t>
      </w:r>
      <w:r w:rsidR="00D926E0">
        <w:rPr>
          <w:rStyle w:val="hgkelc"/>
          <w:rFonts w:ascii="Times New Roman" w:hAnsi="Times New Roman" w:cs="Times New Roman"/>
          <w:i/>
          <w:iCs/>
          <w:sz w:val="24"/>
          <w:szCs w:val="24"/>
          <w:lang w:val="en-GB"/>
        </w:rPr>
        <w:t xml:space="preserve"> </w:t>
      </w:r>
      <w:r w:rsidR="00D926E0" w:rsidRPr="00D926E0">
        <w:rPr>
          <w:rStyle w:val="hgkelc"/>
          <w:rFonts w:ascii="Times New Roman" w:hAnsi="Times New Roman" w:cs="Times New Roman"/>
          <w:sz w:val="24"/>
          <w:szCs w:val="24"/>
          <w:lang w:val="en-GB"/>
        </w:rPr>
        <w:t>239-258.</w:t>
      </w:r>
    </w:p>
    <w:p w14:paraId="4647E042" w14:textId="78C3EA96" w:rsidR="00D926E0" w:rsidRDefault="00D926E0" w:rsidP="00FC212B">
      <w:pPr>
        <w:rPr>
          <w:rStyle w:val="hgkelc"/>
          <w:rFonts w:ascii="Times New Roman" w:hAnsi="Times New Roman" w:cs="Times New Roman"/>
          <w:sz w:val="24"/>
          <w:szCs w:val="24"/>
          <w:lang w:val="en-GB"/>
        </w:rPr>
      </w:pPr>
      <w:r w:rsidRPr="00E509AA">
        <w:rPr>
          <w:rStyle w:val="hgkelc"/>
          <w:rFonts w:ascii="Times New Roman" w:hAnsi="Times New Roman" w:cs="Times New Roman"/>
          <w:sz w:val="24"/>
          <w:szCs w:val="24"/>
          <w:lang w:val="en-GB"/>
        </w:rPr>
        <w:lastRenderedPageBreak/>
        <w:t>Nymoen, R. (1991)</w:t>
      </w:r>
      <w:r w:rsidR="00E509AA" w:rsidRPr="00E509AA">
        <w:rPr>
          <w:rStyle w:val="hgkelc"/>
          <w:rFonts w:ascii="Times New Roman" w:hAnsi="Times New Roman" w:cs="Times New Roman"/>
          <w:sz w:val="24"/>
          <w:szCs w:val="24"/>
          <w:lang w:val="en-GB"/>
        </w:rPr>
        <w:t>. A Small L</w:t>
      </w:r>
      <w:r w:rsidR="00E509AA">
        <w:rPr>
          <w:rStyle w:val="hgkelc"/>
          <w:rFonts w:ascii="Times New Roman" w:hAnsi="Times New Roman" w:cs="Times New Roman"/>
          <w:sz w:val="24"/>
          <w:szCs w:val="24"/>
          <w:lang w:val="en-GB"/>
        </w:rPr>
        <w:t>inear Model of Wage- and Price-Inflation in the Norwegian Economy</w:t>
      </w:r>
      <w:r w:rsidR="009D6D2B">
        <w:rPr>
          <w:rStyle w:val="hgkelc"/>
          <w:rFonts w:ascii="Times New Roman" w:hAnsi="Times New Roman" w:cs="Times New Roman"/>
          <w:sz w:val="24"/>
          <w:szCs w:val="24"/>
          <w:lang w:val="en-GB"/>
        </w:rPr>
        <w:t xml:space="preserve">, </w:t>
      </w:r>
      <w:r w:rsidR="009D6D2B">
        <w:rPr>
          <w:rStyle w:val="hgkelc"/>
          <w:rFonts w:ascii="Times New Roman" w:hAnsi="Times New Roman" w:cs="Times New Roman"/>
          <w:i/>
          <w:iCs/>
          <w:sz w:val="24"/>
          <w:szCs w:val="24"/>
          <w:lang w:val="en-GB"/>
        </w:rPr>
        <w:t>Journal of Applied Econometrics</w:t>
      </w:r>
      <w:r w:rsidR="009D6D2B">
        <w:rPr>
          <w:rStyle w:val="hgkelc"/>
          <w:rFonts w:ascii="Times New Roman" w:hAnsi="Times New Roman" w:cs="Times New Roman"/>
          <w:sz w:val="24"/>
          <w:szCs w:val="24"/>
          <w:lang w:val="en-GB"/>
        </w:rPr>
        <w:t xml:space="preserve">, 6, </w:t>
      </w:r>
      <w:r w:rsidR="00586087">
        <w:rPr>
          <w:rStyle w:val="hgkelc"/>
          <w:rFonts w:ascii="Times New Roman" w:hAnsi="Times New Roman" w:cs="Times New Roman"/>
          <w:sz w:val="24"/>
          <w:szCs w:val="24"/>
          <w:lang w:val="en-GB"/>
        </w:rPr>
        <w:t>255-269.</w:t>
      </w:r>
    </w:p>
    <w:p w14:paraId="382A4884" w14:textId="1FEC6A45" w:rsidR="00BD1B6F" w:rsidRPr="007B10C8" w:rsidRDefault="00BD1B6F" w:rsidP="00FC212B">
      <w:pPr>
        <w:rPr>
          <w:rStyle w:val="hgkelc"/>
          <w:rFonts w:ascii="Times New Roman" w:hAnsi="Times New Roman" w:cs="Times New Roman"/>
          <w:sz w:val="24"/>
          <w:szCs w:val="24"/>
          <w:lang w:val="en-GB"/>
        </w:rPr>
      </w:pPr>
      <w:r>
        <w:rPr>
          <w:rStyle w:val="hgkelc"/>
          <w:rFonts w:ascii="Times New Roman" w:hAnsi="Times New Roman" w:cs="Times New Roman"/>
          <w:sz w:val="24"/>
          <w:szCs w:val="24"/>
          <w:lang w:val="en-GB"/>
        </w:rPr>
        <w:t xml:space="preserve">OECD (2018). </w:t>
      </w:r>
      <w:r>
        <w:rPr>
          <w:rStyle w:val="hgkelc"/>
          <w:rFonts w:ascii="Times New Roman" w:hAnsi="Times New Roman" w:cs="Times New Roman"/>
          <w:i/>
          <w:iCs/>
          <w:sz w:val="24"/>
          <w:szCs w:val="24"/>
          <w:lang w:val="en-GB"/>
        </w:rPr>
        <w:t>Employment Outlook</w:t>
      </w:r>
      <w:r w:rsidR="007B10C8">
        <w:rPr>
          <w:rStyle w:val="hgkelc"/>
          <w:rFonts w:ascii="Times New Roman" w:hAnsi="Times New Roman" w:cs="Times New Roman"/>
          <w:sz w:val="24"/>
          <w:szCs w:val="24"/>
          <w:lang w:val="en-GB"/>
        </w:rPr>
        <w:t>. Paris.</w:t>
      </w:r>
    </w:p>
    <w:p w14:paraId="4A119274" w14:textId="7D3D8677" w:rsidR="00220603" w:rsidRPr="00BD639B" w:rsidRDefault="00220603" w:rsidP="00FC212B">
      <w:pPr>
        <w:rPr>
          <w:rStyle w:val="hgkelc"/>
          <w:rFonts w:ascii="Times New Roman" w:hAnsi="Times New Roman" w:cs="Times New Roman"/>
          <w:sz w:val="24"/>
          <w:szCs w:val="24"/>
          <w:lang w:val="en-GB"/>
        </w:rPr>
      </w:pPr>
      <w:r>
        <w:rPr>
          <w:rStyle w:val="hgkelc"/>
          <w:rFonts w:ascii="Times New Roman" w:hAnsi="Times New Roman" w:cs="Times New Roman"/>
          <w:sz w:val="24"/>
          <w:szCs w:val="24"/>
          <w:lang w:val="en-GB"/>
        </w:rPr>
        <w:t>Rose, A.K.</w:t>
      </w:r>
      <w:r w:rsidR="00C77102">
        <w:rPr>
          <w:rStyle w:val="hgkelc"/>
          <w:rFonts w:ascii="Times New Roman" w:hAnsi="Times New Roman" w:cs="Times New Roman"/>
          <w:sz w:val="24"/>
          <w:szCs w:val="24"/>
          <w:lang w:val="en-GB"/>
        </w:rPr>
        <w:t>, Supaat, S. &amp; Baude, J.</w:t>
      </w:r>
      <w:r w:rsidR="004A237F">
        <w:rPr>
          <w:rStyle w:val="hgkelc"/>
          <w:rFonts w:ascii="Times New Roman" w:hAnsi="Times New Roman" w:cs="Times New Roman"/>
          <w:sz w:val="24"/>
          <w:szCs w:val="24"/>
          <w:lang w:val="en-GB"/>
        </w:rPr>
        <w:t xml:space="preserve"> </w:t>
      </w:r>
      <w:r w:rsidR="00C77102">
        <w:rPr>
          <w:rStyle w:val="hgkelc"/>
          <w:rFonts w:ascii="Times New Roman" w:hAnsi="Times New Roman" w:cs="Times New Roman"/>
          <w:sz w:val="24"/>
          <w:szCs w:val="24"/>
          <w:lang w:val="en-GB"/>
        </w:rPr>
        <w:t>(2009)</w:t>
      </w:r>
      <w:r w:rsidR="004A237F">
        <w:rPr>
          <w:rStyle w:val="hgkelc"/>
          <w:rFonts w:ascii="Times New Roman" w:hAnsi="Times New Roman" w:cs="Times New Roman"/>
          <w:sz w:val="24"/>
          <w:szCs w:val="24"/>
          <w:lang w:val="en-GB"/>
        </w:rPr>
        <w:t xml:space="preserve">. Fertility and the Real Exchange Rate, </w:t>
      </w:r>
      <w:r w:rsidR="004A237F">
        <w:rPr>
          <w:rStyle w:val="hgkelc"/>
          <w:rFonts w:ascii="Times New Roman" w:hAnsi="Times New Roman" w:cs="Times New Roman"/>
          <w:i/>
          <w:iCs/>
          <w:sz w:val="24"/>
          <w:szCs w:val="24"/>
          <w:lang w:val="en-GB"/>
        </w:rPr>
        <w:t>Canadian Journal of Economics</w:t>
      </w:r>
      <w:r w:rsidR="004A237F">
        <w:rPr>
          <w:rStyle w:val="hgkelc"/>
          <w:rFonts w:ascii="Times New Roman" w:hAnsi="Times New Roman" w:cs="Times New Roman"/>
          <w:sz w:val="24"/>
          <w:szCs w:val="24"/>
          <w:lang w:val="en-GB"/>
        </w:rPr>
        <w:t>, 42</w:t>
      </w:r>
      <w:r w:rsidR="00BD639B">
        <w:rPr>
          <w:rStyle w:val="hgkelc"/>
          <w:rFonts w:ascii="Times New Roman" w:hAnsi="Times New Roman" w:cs="Times New Roman"/>
          <w:sz w:val="24"/>
          <w:szCs w:val="24"/>
          <w:lang w:val="en-GB"/>
        </w:rPr>
        <w:t>(2)</w:t>
      </w:r>
      <w:r w:rsidR="007A2682">
        <w:rPr>
          <w:rStyle w:val="hgkelc"/>
          <w:rFonts w:ascii="Times New Roman" w:hAnsi="Times New Roman" w:cs="Times New Roman"/>
          <w:sz w:val="24"/>
          <w:szCs w:val="24"/>
          <w:lang w:val="en-GB"/>
        </w:rPr>
        <w:t>, 496-518.</w:t>
      </w:r>
      <w:r w:rsidR="00BD639B">
        <w:rPr>
          <w:rStyle w:val="hgkelc"/>
          <w:rFonts w:ascii="Times New Roman" w:hAnsi="Times New Roman" w:cs="Times New Roman"/>
          <w:sz w:val="24"/>
          <w:szCs w:val="24"/>
          <w:lang w:val="en-GB"/>
        </w:rPr>
        <w:t xml:space="preserve">   </w:t>
      </w:r>
    </w:p>
    <w:p w14:paraId="5001ED53" w14:textId="58BCE025" w:rsidR="00DA4931" w:rsidRPr="002C2BFB" w:rsidRDefault="00E02B2D" w:rsidP="00FC212B">
      <w:pPr>
        <w:rPr>
          <w:rFonts w:ascii="Times New Roman" w:hAnsi="Times New Roman" w:cs="Times New Roman"/>
          <w:sz w:val="24"/>
          <w:szCs w:val="24"/>
        </w:rPr>
      </w:pPr>
      <w:r w:rsidRPr="002C2BFB">
        <w:rPr>
          <w:rFonts w:ascii="Times New Roman" w:hAnsi="Times New Roman" w:cs="Times New Roman"/>
          <w:sz w:val="24"/>
          <w:szCs w:val="24"/>
        </w:rPr>
        <w:t>Røisland,</w:t>
      </w:r>
      <w:r w:rsidR="0047716A" w:rsidRPr="002C2BFB">
        <w:rPr>
          <w:rFonts w:ascii="Times New Roman" w:hAnsi="Times New Roman" w:cs="Times New Roman"/>
          <w:sz w:val="24"/>
          <w:szCs w:val="24"/>
        </w:rPr>
        <w:t xml:space="preserve"> </w:t>
      </w:r>
      <w:r w:rsidR="000F180C" w:rsidRPr="002C2BFB">
        <w:rPr>
          <w:rFonts w:ascii="Times New Roman" w:hAnsi="Times New Roman" w:cs="Times New Roman"/>
          <w:sz w:val="24"/>
          <w:szCs w:val="24"/>
        </w:rPr>
        <w:t>Ø</w:t>
      </w:r>
      <w:r w:rsidR="004A02D0" w:rsidRPr="002C2BFB">
        <w:rPr>
          <w:rFonts w:ascii="Times New Roman" w:hAnsi="Times New Roman" w:cs="Times New Roman"/>
          <w:sz w:val="24"/>
          <w:szCs w:val="24"/>
        </w:rPr>
        <w:t>. (2023</w:t>
      </w:r>
      <w:r w:rsidR="00AF2A6A">
        <w:rPr>
          <w:rFonts w:ascii="Times New Roman" w:hAnsi="Times New Roman" w:cs="Times New Roman"/>
          <w:sz w:val="24"/>
          <w:szCs w:val="24"/>
        </w:rPr>
        <w:t>a</w:t>
      </w:r>
      <w:r w:rsidR="004A02D0" w:rsidRPr="002C2BFB">
        <w:rPr>
          <w:rFonts w:ascii="Times New Roman" w:hAnsi="Times New Roman" w:cs="Times New Roman"/>
          <w:sz w:val="24"/>
          <w:szCs w:val="24"/>
        </w:rPr>
        <w:t xml:space="preserve">). </w:t>
      </w:r>
      <w:r w:rsidR="002C2BFB" w:rsidRPr="002C2BFB">
        <w:rPr>
          <w:rStyle w:val="SC4172049"/>
          <w:rFonts w:ascii="Times New Roman" w:hAnsi="Times New Roman" w:cs="Times New Roman"/>
          <w:sz w:val="24"/>
          <w:szCs w:val="24"/>
        </w:rPr>
        <w:t xml:space="preserve">Når kan lønns prisspiraler </w:t>
      </w:r>
      <w:r w:rsidR="002C2BFB" w:rsidRPr="002C2BFB">
        <w:rPr>
          <w:rStyle w:val="SC4172053"/>
          <w:rFonts w:ascii="Times New Roman" w:hAnsi="Times New Roman" w:cs="Times New Roman"/>
          <w:sz w:val="24"/>
          <w:szCs w:val="24"/>
        </w:rPr>
        <w:t xml:space="preserve">oppstå? Om samspillet mellom pengepolitikken </w:t>
      </w:r>
      <w:r w:rsidR="002C2BFB" w:rsidRPr="002C2BFB">
        <w:rPr>
          <w:rStyle w:val="SC4172049"/>
          <w:rFonts w:ascii="Times New Roman" w:hAnsi="Times New Roman" w:cs="Times New Roman"/>
          <w:sz w:val="24"/>
          <w:szCs w:val="24"/>
        </w:rPr>
        <w:t>og lønnsdannelsen</w:t>
      </w:r>
      <w:r w:rsidR="002C2BFB">
        <w:rPr>
          <w:rStyle w:val="SC4172049"/>
          <w:rFonts w:ascii="Times New Roman" w:hAnsi="Times New Roman" w:cs="Times New Roman"/>
          <w:sz w:val="24"/>
          <w:szCs w:val="24"/>
        </w:rPr>
        <w:t>,</w:t>
      </w:r>
      <w:r w:rsidR="002C2BFB" w:rsidRPr="002C2BFB">
        <w:rPr>
          <w:rStyle w:val="SC4172049"/>
          <w:rFonts w:ascii="Times New Roman" w:hAnsi="Times New Roman" w:cs="Times New Roman"/>
          <w:sz w:val="24"/>
          <w:szCs w:val="24"/>
        </w:rPr>
        <w:t xml:space="preserve"> </w:t>
      </w:r>
      <w:r w:rsidR="002C2BFB" w:rsidRPr="002C2BFB">
        <w:rPr>
          <w:rStyle w:val="SC4172049"/>
          <w:rFonts w:ascii="Times New Roman" w:hAnsi="Times New Roman" w:cs="Times New Roman"/>
          <w:i/>
          <w:iCs/>
          <w:sz w:val="24"/>
          <w:szCs w:val="24"/>
        </w:rPr>
        <w:t xml:space="preserve">Samfunnsøkonomen, </w:t>
      </w:r>
      <w:r w:rsidR="002C2BFB" w:rsidRPr="002C2BFB">
        <w:rPr>
          <w:rStyle w:val="SC4172049"/>
          <w:rFonts w:ascii="Times New Roman" w:hAnsi="Times New Roman" w:cs="Times New Roman"/>
          <w:sz w:val="24"/>
          <w:szCs w:val="24"/>
        </w:rPr>
        <w:t>nr. 3, 45</w:t>
      </w:r>
      <w:r w:rsidR="00584780">
        <w:rPr>
          <w:rStyle w:val="SC4172049"/>
          <w:rFonts w:ascii="Times New Roman" w:hAnsi="Times New Roman" w:cs="Times New Roman"/>
          <w:sz w:val="24"/>
          <w:szCs w:val="24"/>
        </w:rPr>
        <w:t>-</w:t>
      </w:r>
      <w:r w:rsidR="002C2BFB" w:rsidRPr="002C2BFB">
        <w:rPr>
          <w:rStyle w:val="SC4172049"/>
          <w:rFonts w:ascii="Times New Roman" w:hAnsi="Times New Roman" w:cs="Times New Roman"/>
          <w:sz w:val="24"/>
          <w:szCs w:val="24"/>
        </w:rPr>
        <w:t>56.</w:t>
      </w:r>
    </w:p>
    <w:p w14:paraId="2B6D857A" w14:textId="4B95525B" w:rsidR="00DA4931" w:rsidRPr="0056234F" w:rsidRDefault="00DA4931" w:rsidP="00AF2A6A">
      <w:pPr>
        <w:rPr>
          <w:rStyle w:val="hgkelc"/>
          <w:rFonts w:ascii="Times New Roman" w:hAnsi="Times New Roman" w:cs="Times New Roman"/>
          <w:sz w:val="24"/>
          <w:szCs w:val="24"/>
          <w:lang w:val="en-GB"/>
        </w:rPr>
      </w:pPr>
      <w:r w:rsidRPr="005313BD">
        <w:rPr>
          <w:rStyle w:val="hgkelc"/>
          <w:rFonts w:ascii="Times New Roman" w:hAnsi="Times New Roman" w:cs="Times New Roman"/>
          <w:sz w:val="24"/>
          <w:szCs w:val="24"/>
        </w:rPr>
        <w:t>Røisland, Ø. (2023b). Frontfagsmodellen og importert inflasjon</w:t>
      </w:r>
      <w:r w:rsidR="005313BD" w:rsidRPr="005313BD">
        <w:rPr>
          <w:rStyle w:val="hgkelc"/>
          <w:rFonts w:ascii="Times New Roman" w:hAnsi="Times New Roman" w:cs="Times New Roman"/>
          <w:sz w:val="24"/>
          <w:szCs w:val="24"/>
        </w:rPr>
        <w:t xml:space="preserve">, </w:t>
      </w:r>
      <w:r w:rsidRPr="003C21BF">
        <w:rPr>
          <w:rStyle w:val="hgkelc"/>
          <w:rFonts w:ascii="Times New Roman" w:hAnsi="Times New Roman" w:cs="Times New Roman"/>
          <w:i/>
          <w:iCs/>
          <w:sz w:val="24"/>
          <w:szCs w:val="24"/>
        </w:rPr>
        <w:t>Samfunns</w:t>
      </w:r>
      <w:r w:rsidRPr="003C21BF">
        <w:rPr>
          <w:rStyle w:val="hgkelc"/>
          <w:rFonts w:ascii="Times New Roman" w:hAnsi="Times New Roman" w:cs="Times New Roman"/>
          <w:i/>
          <w:iCs/>
          <w:sz w:val="24"/>
          <w:szCs w:val="24"/>
        </w:rPr>
        <w:softHyphen/>
        <w:t>økonomen</w:t>
      </w:r>
      <w:r w:rsidR="005313BD">
        <w:rPr>
          <w:rStyle w:val="hgkelc"/>
          <w:rFonts w:ascii="Times New Roman" w:hAnsi="Times New Roman" w:cs="Times New Roman"/>
          <w:sz w:val="24"/>
          <w:szCs w:val="24"/>
        </w:rPr>
        <w:t xml:space="preserve">, nr 6. </w:t>
      </w:r>
      <w:r w:rsidR="003C21BF" w:rsidRPr="0056234F">
        <w:rPr>
          <w:rStyle w:val="hgkelc"/>
          <w:rFonts w:ascii="Times New Roman" w:hAnsi="Times New Roman" w:cs="Times New Roman"/>
          <w:sz w:val="24"/>
          <w:szCs w:val="24"/>
          <w:lang w:val="en-GB"/>
        </w:rPr>
        <w:t>SIDOR?</w:t>
      </w:r>
    </w:p>
    <w:p w14:paraId="07C4C284" w14:textId="4E92B5E7" w:rsidR="003B17EB" w:rsidRPr="003B17EB" w:rsidRDefault="003B17EB" w:rsidP="00AF2A6A">
      <w:pPr>
        <w:rPr>
          <w:rStyle w:val="hgkelc"/>
          <w:rFonts w:ascii="Times New Roman" w:hAnsi="Times New Roman" w:cs="Times New Roman"/>
          <w:sz w:val="24"/>
          <w:szCs w:val="24"/>
          <w:lang w:val="en-GB"/>
        </w:rPr>
      </w:pPr>
      <w:r w:rsidRPr="0056234F">
        <w:rPr>
          <w:rStyle w:val="hgkelc"/>
          <w:rFonts w:ascii="Times New Roman" w:hAnsi="Times New Roman" w:cs="Times New Roman"/>
          <w:sz w:val="24"/>
          <w:szCs w:val="24"/>
          <w:lang w:val="en-GB"/>
        </w:rPr>
        <w:t xml:space="preserve">Soskice, D. &amp; Iversen, T. (2000). </w:t>
      </w:r>
      <w:r w:rsidRPr="003B17EB">
        <w:rPr>
          <w:rStyle w:val="hgkelc"/>
          <w:rFonts w:ascii="Times New Roman" w:hAnsi="Times New Roman" w:cs="Times New Roman"/>
          <w:sz w:val="24"/>
          <w:szCs w:val="24"/>
          <w:lang w:val="en-GB"/>
        </w:rPr>
        <w:t>The Non-Neutrality of M</w:t>
      </w:r>
      <w:r>
        <w:rPr>
          <w:rStyle w:val="hgkelc"/>
          <w:rFonts w:ascii="Times New Roman" w:hAnsi="Times New Roman" w:cs="Times New Roman"/>
          <w:sz w:val="24"/>
          <w:szCs w:val="24"/>
          <w:lang w:val="en-GB"/>
        </w:rPr>
        <w:t xml:space="preserve">onetary Policy with Large Price or Wage Setters, </w:t>
      </w:r>
      <w:r w:rsidRPr="003B17EB">
        <w:rPr>
          <w:rStyle w:val="hgkelc"/>
          <w:rFonts w:ascii="Times New Roman" w:hAnsi="Times New Roman" w:cs="Times New Roman"/>
          <w:i/>
          <w:iCs/>
          <w:sz w:val="24"/>
          <w:szCs w:val="24"/>
          <w:lang w:val="en-GB"/>
        </w:rPr>
        <w:t>Quarterly Journal of Economics</w:t>
      </w:r>
      <w:r>
        <w:rPr>
          <w:rStyle w:val="hgkelc"/>
          <w:rFonts w:ascii="Times New Roman" w:hAnsi="Times New Roman" w:cs="Times New Roman"/>
          <w:sz w:val="24"/>
          <w:szCs w:val="24"/>
          <w:lang w:val="en-GB"/>
        </w:rPr>
        <w:t>, 115(1), 265-284.</w:t>
      </w:r>
    </w:p>
    <w:p w14:paraId="00822F82" w14:textId="11F1D861" w:rsidR="00F9220D" w:rsidRPr="004A0152" w:rsidRDefault="00F9220D" w:rsidP="00FC212B">
      <w:pPr>
        <w:rPr>
          <w:rStyle w:val="hgkelc"/>
          <w:rFonts w:ascii="Times New Roman" w:hAnsi="Times New Roman" w:cs="Times New Roman"/>
          <w:sz w:val="24"/>
          <w:szCs w:val="24"/>
        </w:rPr>
      </w:pPr>
      <w:r w:rsidRPr="005313BD">
        <w:rPr>
          <w:rStyle w:val="hgkelc"/>
          <w:rFonts w:ascii="Times New Roman" w:hAnsi="Times New Roman" w:cs="Times New Roman"/>
          <w:sz w:val="24"/>
          <w:szCs w:val="24"/>
        </w:rPr>
        <w:t xml:space="preserve">Utredningsutvalget for inntektsoppgjørene </w:t>
      </w:r>
      <w:r w:rsidR="00E73FF1" w:rsidRPr="005313BD">
        <w:rPr>
          <w:rStyle w:val="hgkelc"/>
          <w:rFonts w:ascii="Times New Roman" w:hAnsi="Times New Roman" w:cs="Times New Roman"/>
          <w:sz w:val="24"/>
          <w:szCs w:val="24"/>
        </w:rPr>
        <w:t>(</w:t>
      </w:r>
      <w:r w:rsidRPr="005313BD">
        <w:rPr>
          <w:rStyle w:val="hgkelc"/>
          <w:rFonts w:ascii="Times New Roman" w:hAnsi="Times New Roman" w:cs="Times New Roman"/>
          <w:sz w:val="24"/>
          <w:szCs w:val="24"/>
        </w:rPr>
        <w:t>1966</w:t>
      </w:r>
      <w:r w:rsidR="00E73FF1" w:rsidRPr="005313BD">
        <w:rPr>
          <w:rStyle w:val="hgkelc"/>
          <w:rFonts w:ascii="Times New Roman" w:hAnsi="Times New Roman" w:cs="Times New Roman"/>
          <w:sz w:val="24"/>
          <w:szCs w:val="24"/>
        </w:rPr>
        <w:t>)</w:t>
      </w:r>
      <w:r w:rsidRPr="005313BD">
        <w:rPr>
          <w:rStyle w:val="hgkelc"/>
          <w:rFonts w:ascii="Times New Roman" w:hAnsi="Times New Roman" w:cs="Times New Roman"/>
          <w:sz w:val="24"/>
          <w:szCs w:val="24"/>
        </w:rPr>
        <w:t>,</w:t>
      </w:r>
      <w:r w:rsidR="001C3EE3" w:rsidRPr="005313BD">
        <w:rPr>
          <w:rStyle w:val="hgkelc"/>
          <w:rFonts w:ascii="Times New Roman" w:hAnsi="Times New Roman" w:cs="Times New Roman"/>
          <w:sz w:val="24"/>
          <w:szCs w:val="24"/>
        </w:rPr>
        <w:t xml:space="preserve"> </w:t>
      </w:r>
      <w:r w:rsidR="004B15B6" w:rsidRPr="005313BD">
        <w:rPr>
          <w:rStyle w:val="hgkelc"/>
          <w:rFonts w:ascii="Times New Roman" w:hAnsi="Times New Roman" w:cs="Times New Roman"/>
          <w:sz w:val="24"/>
          <w:szCs w:val="24"/>
        </w:rPr>
        <w:t>Insti</w:t>
      </w:r>
      <w:r w:rsidR="001C3EE3" w:rsidRPr="005313BD">
        <w:rPr>
          <w:rStyle w:val="hgkelc"/>
          <w:rFonts w:ascii="Times New Roman" w:hAnsi="Times New Roman" w:cs="Times New Roman"/>
          <w:sz w:val="24"/>
          <w:szCs w:val="24"/>
        </w:rPr>
        <w:t xml:space="preserve">lling avgitt </w:t>
      </w:r>
      <w:r w:rsidR="007273B3" w:rsidRPr="005313BD">
        <w:rPr>
          <w:rStyle w:val="hgkelc"/>
          <w:rFonts w:ascii="Times New Roman" w:hAnsi="Times New Roman" w:cs="Times New Roman"/>
          <w:sz w:val="24"/>
          <w:szCs w:val="24"/>
        </w:rPr>
        <w:t>22 januar</w:t>
      </w:r>
      <w:r w:rsidR="00777BAC" w:rsidRPr="005313BD">
        <w:rPr>
          <w:rStyle w:val="hgkelc"/>
          <w:rFonts w:ascii="Times New Roman" w:hAnsi="Times New Roman" w:cs="Times New Roman"/>
          <w:sz w:val="24"/>
          <w:szCs w:val="24"/>
        </w:rPr>
        <w:t xml:space="preserve"> 1966</w:t>
      </w:r>
      <w:r w:rsidR="00F74FD0" w:rsidRPr="005313BD">
        <w:rPr>
          <w:rStyle w:val="hgkelc"/>
          <w:rFonts w:ascii="Times New Roman" w:hAnsi="Times New Roman" w:cs="Times New Roman"/>
          <w:sz w:val="24"/>
          <w:szCs w:val="24"/>
        </w:rPr>
        <w:t xml:space="preserve">. </w:t>
      </w:r>
      <w:r w:rsidR="001E1D89" w:rsidRPr="004A0152">
        <w:rPr>
          <w:rStyle w:val="hgkelc"/>
          <w:rFonts w:ascii="Times New Roman" w:hAnsi="Times New Roman" w:cs="Times New Roman"/>
          <w:sz w:val="24"/>
          <w:szCs w:val="24"/>
        </w:rPr>
        <w:t xml:space="preserve">Oslo: </w:t>
      </w:r>
      <w:r w:rsidR="00777BAC" w:rsidRPr="004A0152">
        <w:rPr>
          <w:rStyle w:val="hgkelc"/>
          <w:rFonts w:ascii="Times New Roman" w:hAnsi="Times New Roman" w:cs="Times New Roman"/>
          <w:sz w:val="24"/>
          <w:szCs w:val="24"/>
        </w:rPr>
        <w:t>Prime Minister’s Office</w:t>
      </w:r>
      <w:r w:rsidR="00E73FF1" w:rsidRPr="004A0152">
        <w:rPr>
          <w:rStyle w:val="hgkelc"/>
          <w:rFonts w:ascii="Times New Roman" w:hAnsi="Times New Roman" w:cs="Times New Roman"/>
          <w:sz w:val="24"/>
          <w:szCs w:val="24"/>
        </w:rPr>
        <w:t xml:space="preserve"> </w:t>
      </w:r>
    </w:p>
    <w:p w14:paraId="33D75FF3" w14:textId="0C972311" w:rsidR="001E5403" w:rsidRDefault="001E5403" w:rsidP="00FC212B">
      <w:pPr>
        <w:rPr>
          <w:rFonts w:ascii="Times New Roman" w:hAnsi="Times New Roman" w:cs="Times New Roman"/>
          <w:sz w:val="24"/>
          <w:szCs w:val="24"/>
          <w:lang w:val="en-GB"/>
        </w:rPr>
      </w:pPr>
      <w:r w:rsidRPr="001E5403">
        <w:rPr>
          <w:rFonts w:ascii="Times New Roman" w:hAnsi="Times New Roman" w:cs="Times New Roman"/>
          <w:sz w:val="24"/>
          <w:szCs w:val="24"/>
        </w:rPr>
        <w:t xml:space="preserve">Utredningsutvalget for inntektsoppgjørene </w:t>
      </w:r>
      <w:r w:rsidR="00B175AE">
        <w:rPr>
          <w:rFonts w:ascii="Times New Roman" w:hAnsi="Times New Roman" w:cs="Times New Roman"/>
          <w:sz w:val="24"/>
          <w:szCs w:val="24"/>
        </w:rPr>
        <w:t xml:space="preserve">(1967), </w:t>
      </w:r>
      <w:r w:rsidR="00BD4709">
        <w:rPr>
          <w:rFonts w:ascii="Times New Roman" w:hAnsi="Times New Roman" w:cs="Times New Roman"/>
          <w:i/>
          <w:iCs/>
          <w:sz w:val="24"/>
          <w:szCs w:val="24"/>
        </w:rPr>
        <w:t>Instilling II avgiftt 20 oktober 1966</w:t>
      </w:r>
      <w:r w:rsidR="00BD4709">
        <w:rPr>
          <w:rFonts w:ascii="Times New Roman" w:hAnsi="Times New Roman" w:cs="Times New Roman"/>
          <w:sz w:val="24"/>
          <w:szCs w:val="24"/>
        </w:rPr>
        <w:t xml:space="preserve">. </w:t>
      </w:r>
      <w:r w:rsidR="008A58B1" w:rsidRPr="00DA6CAB">
        <w:rPr>
          <w:rFonts w:ascii="Times New Roman" w:hAnsi="Times New Roman" w:cs="Times New Roman"/>
          <w:sz w:val="24"/>
          <w:szCs w:val="24"/>
          <w:lang w:val="en-GB"/>
        </w:rPr>
        <w:t>Oslo: Prime Minister’s Office.</w:t>
      </w:r>
    </w:p>
    <w:p w14:paraId="6BDB96FE" w14:textId="3ADF84D1" w:rsidR="00A80B38" w:rsidRPr="00082A59" w:rsidRDefault="00944EA4" w:rsidP="00A80B38">
      <w:pPr>
        <w:rPr>
          <w:rFonts w:ascii="Times New Roman" w:hAnsi="Times New Roman" w:cs="Times New Roman"/>
          <w:kern w:val="0"/>
          <w:sz w:val="24"/>
          <w:szCs w:val="24"/>
        </w:rPr>
      </w:pPr>
      <w:r w:rsidRPr="0018261D">
        <w:rPr>
          <w:rFonts w:ascii="Times New Roman" w:hAnsi="Times New Roman" w:cs="Times New Roman"/>
          <w:kern w:val="0"/>
          <w:sz w:val="24"/>
          <w:szCs w:val="24"/>
          <w:lang w:val="en-GB"/>
        </w:rPr>
        <w:t>Ingunn Sagelvmo, I., Slettebø,</w:t>
      </w:r>
      <w:r w:rsidR="001A6C6F" w:rsidRPr="0018261D">
        <w:rPr>
          <w:rFonts w:ascii="Times New Roman" w:hAnsi="Times New Roman" w:cs="Times New Roman"/>
          <w:kern w:val="0"/>
          <w:sz w:val="24"/>
          <w:szCs w:val="24"/>
          <w:lang w:val="en-GB"/>
        </w:rPr>
        <w:t xml:space="preserve"> O. &amp;</w:t>
      </w:r>
      <w:r w:rsidRPr="0018261D">
        <w:rPr>
          <w:rFonts w:ascii="Times New Roman" w:hAnsi="Times New Roman" w:cs="Times New Roman"/>
          <w:kern w:val="0"/>
          <w:sz w:val="24"/>
          <w:szCs w:val="24"/>
          <w:lang w:val="en-GB"/>
        </w:rPr>
        <w:t xml:space="preserve"> Strøm</w:t>
      </w:r>
      <w:r w:rsidR="001A6C6F" w:rsidRPr="0018261D">
        <w:rPr>
          <w:rFonts w:ascii="Times New Roman" w:hAnsi="Times New Roman" w:cs="Times New Roman"/>
          <w:kern w:val="0"/>
          <w:sz w:val="24"/>
          <w:szCs w:val="24"/>
          <w:lang w:val="en-GB"/>
        </w:rPr>
        <w:t>, B. (2023).</w:t>
      </w:r>
      <w:r w:rsidR="00082A59" w:rsidRPr="0018261D">
        <w:rPr>
          <w:rFonts w:ascii="Times New Roman" w:hAnsi="Times New Roman" w:cs="Times New Roman"/>
          <w:kern w:val="0"/>
          <w:sz w:val="24"/>
          <w:szCs w:val="24"/>
          <w:lang w:val="en-GB"/>
        </w:rPr>
        <w:t xml:space="preserve"> </w:t>
      </w:r>
      <w:r w:rsidR="00A80B38" w:rsidRPr="00082A59">
        <w:rPr>
          <w:rFonts w:ascii="Times New Roman" w:hAnsi="Times New Roman" w:cs="Times New Roman"/>
          <w:i/>
          <w:iCs/>
          <w:kern w:val="0"/>
          <w:sz w:val="24"/>
          <w:szCs w:val="24"/>
        </w:rPr>
        <w:t>Konkurranseutsatte</w:t>
      </w:r>
      <w:r w:rsidR="00082A59" w:rsidRPr="00082A59">
        <w:rPr>
          <w:rFonts w:ascii="Times New Roman" w:hAnsi="Times New Roman" w:cs="Times New Roman"/>
          <w:i/>
          <w:iCs/>
          <w:kern w:val="0"/>
          <w:sz w:val="24"/>
          <w:szCs w:val="24"/>
        </w:rPr>
        <w:t xml:space="preserve"> </w:t>
      </w:r>
      <w:r w:rsidR="00A80B38" w:rsidRPr="00082A59">
        <w:rPr>
          <w:rFonts w:ascii="Times New Roman" w:hAnsi="Times New Roman" w:cs="Times New Roman"/>
          <w:i/>
          <w:iCs/>
          <w:kern w:val="0"/>
          <w:sz w:val="24"/>
          <w:szCs w:val="24"/>
        </w:rPr>
        <w:t>næringer i Norge</w:t>
      </w:r>
      <w:r w:rsidR="00426503">
        <w:rPr>
          <w:rFonts w:ascii="Times New Roman" w:hAnsi="Times New Roman" w:cs="Times New Roman"/>
          <w:kern w:val="0"/>
          <w:sz w:val="24"/>
          <w:szCs w:val="24"/>
        </w:rPr>
        <w:t xml:space="preserve">. </w:t>
      </w:r>
      <w:r w:rsidR="00911156">
        <w:rPr>
          <w:rFonts w:ascii="Times New Roman" w:hAnsi="Times New Roman" w:cs="Times New Roman"/>
          <w:kern w:val="0"/>
          <w:sz w:val="24"/>
          <w:szCs w:val="24"/>
        </w:rPr>
        <w:t>Oslo: Statistisk sentralbyrå.</w:t>
      </w:r>
    </w:p>
    <w:p w14:paraId="3B757BE1" w14:textId="76128796" w:rsidR="006D73A1" w:rsidRDefault="004A3AAD" w:rsidP="00FC212B">
      <w:pPr>
        <w:rPr>
          <w:rFonts w:ascii="Times New Roman" w:hAnsi="Times New Roman" w:cs="Times New Roman"/>
          <w:sz w:val="24"/>
          <w:szCs w:val="24"/>
          <w:lang w:val="en-GB"/>
        </w:rPr>
      </w:pPr>
      <w:r w:rsidRPr="0018261D">
        <w:rPr>
          <w:rFonts w:ascii="Times New Roman" w:hAnsi="Times New Roman" w:cs="Times New Roman"/>
          <w:sz w:val="24"/>
          <w:szCs w:val="24"/>
          <w:lang w:val="en-GB"/>
        </w:rPr>
        <w:t xml:space="preserve">Vartiainen, </w:t>
      </w:r>
      <w:r w:rsidR="00E96AB3" w:rsidRPr="0018261D">
        <w:rPr>
          <w:rFonts w:ascii="Times New Roman" w:hAnsi="Times New Roman" w:cs="Times New Roman"/>
          <w:sz w:val="24"/>
          <w:szCs w:val="24"/>
          <w:lang w:val="en-GB"/>
        </w:rPr>
        <w:t xml:space="preserve">J. (2010). </w:t>
      </w:r>
      <w:r w:rsidR="00E96AB3" w:rsidRPr="00E96AB3">
        <w:rPr>
          <w:rFonts w:ascii="Times New Roman" w:hAnsi="Times New Roman" w:cs="Times New Roman"/>
          <w:sz w:val="24"/>
          <w:szCs w:val="24"/>
          <w:lang w:val="en-GB"/>
        </w:rPr>
        <w:t>Interpreting Wage B</w:t>
      </w:r>
      <w:r w:rsidR="00E96AB3">
        <w:rPr>
          <w:rFonts w:ascii="Times New Roman" w:hAnsi="Times New Roman" w:cs="Times New Roman"/>
          <w:sz w:val="24"/>
          <w:szCs w:val="24"/>
          <w:lang w:val="en-GB"/>
        </w:rPr>
        <w:t>argaining Norms</w:t>
      </w:r>
      <w:r w:rsidR="000E69D9">
        <w:rPr>
          <w:rFonts w:ascii="Times New Roman" w:hAnsi="Times New Roman" w:cs="Times New Roman"/>
          <w:sz w:val="24"/>
          <w:szCs w:val="24"/>
          <w:lang w:val="en-GB"/>
        </w:rPr>
        <w:t>. Working Paper 116</w:t>
      </w:r>
      <w:r w:rsidR="004A2D14">
        <w:rPr>
          <w:rFonts w:ascii="Times New Roman" w:hAnsi="Times New Roman" w:cs="Times New Roman"/>
          <w:sz w:val="24"/>
          <w:szCs w:val="24"/>
          <w:lang w:val="en-GB"/>
        </w:rPr>
        <w:t xml:space="preserve">. </w:t>
      </w:r>
      <w:r w:rsidR="005B197C">
        <w:rPr>
          <w:rFonts w:ascii="Times New Roman" w:hAnsi="Times New Roman" w:cs="Times New Roman"/>
          <w:sz w:val="24"/>
          <w:szCs w:val="24"/>
          <w:lang w:val="en-GB"/>
        </w:rPr>
        <w:t>Stockholm: National Institute of Economic Research</w:t>
      </w:r>
      <w:r w:rsidR="002D4F3C">
        <w:rPr>
          <w:rFonts w:ascii="Times New Roman" w:hAnsi="Times New Roman" w:cs="Times New Roman"/>
          <w:sz w:val="24"/>
          <w:szCs w:val="24"/>
          <w:lang w:val="en-GB"/>
        </w:rPr>
        <w:t>.</w:t>
      </w:r>
    </w:p>
    <w:p w14:paraId="1FDF37F8" w14:textId="3E3511E2" w:rsidR="00D42AF0" w:rsidRDefault="00D42AF0" w:rsidP="00D42AF0">
      <w:pPr>
        <w:pStyle w:val="Heading1"/>
        <w:rPr>
          <w:lang w:val="en-GB"/>
        </w:rPr>
      </w:pPr>
      <w:r>
        <w:rPr>
          <w:lang w:val="en-GB"/>
        </w:rPr>
        <w:t>Appendix A.1 The Scandinavian</w:t>
      </w:r>
      <w:r w:rsidR="0090590B">
        <w:rPr>
          <w:lang w:val="en-GB"/>
        </w:rPr>
        <w:t>-m</w:t>
      </w:r>
      <w:r w:rsidR="009F2D4A">
        <w:rPr>
          <w:lang w:val="en-GB"/>
        </w:rPr>
        <w:t>odel</w:t>
      </w:r>
      <w:r>
        <w:rPr>
          <w:lang w:val="en-GB"/>
        </w:rPr>
        <w:t xml:space="preserve"> wage norm under inflation targeting</w:t>
      </w:r>
    </w:p>
    <w:p w14:paraId="4638C1C3" w14:textId="2AE48422" w:rsidR="00D42AF0" w:rsidRDefault="00D42AF0" w:rsidP="00D42AF0">
      <w:pPr>
        <w:jc w:val="both"/>
        <w:rPr>
          <w:rFonts w:ascii="Times New Roman" w:hAnsi="Times New Roman" w:cs="Times New Roman"/>
          <w:sz w:val="24"/>
          <w:szCs w:val="24"/>
          <w:lang w:val="en-GB"/>
        </w:rPr>
      </w:pPr>
      <w:r>
        <w:rPr>
          <w:rFonts w:ascii="Times New Roman" w:hAnsi="Times New Roman" w:cs="Times New Roman"/>
          <w:sz w:val="24"/>
          <w:szCs w:val="24"/>
          <w:lang w:val="en-GB"/>
        </w:rPr>
        <w:t>The Scandinavian model of wage formation can be summarised by the following five equations:</w:t>
      </w:r>
    </w:p>
    <w:p w14:paraId="770352E3" w14:textId="1D8DAFD8" w:rsidR="00D42AF0" w:rsidRPr="00D42AF0" w:rsidRDefault="00D42AF0" w:rsidP="00D42AF0">
      <w:pPr>
        <w:jc w:val="both"/>
        <w:rPr>
          <w:rFonts w:ascii="Times New Roman" w:eastAsiaTheme="minorEastAsia" w:hAnsi="Times New Roman" w:cs="Times New Roman"/>
          <w:sz w:val="24"/>
          <w:szCs w:val="24"/>
          <w:lang w:val="en-GB"/>
        </w:rPr>
      </w:pPr>
      <m:oMath>
        <m:r>
          <w:rPr>
            <w:rFonts w:ascii="Cambria Math" w:hAnsi="Cambria Math" w:cs="Times New Roman"/>
            <w:sz w:val="24"/>
            <w:szCs w:val="24"/>
            <w:lang w:val="en-GB"/>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m:t>
            </m:r>
          </m:sub>
          <m:sup>
            <m:r>
              <w:rPr>
                <w:rFonts w:ascii="Cambria Math" w:hAnsi="Cambria Math" w:cs="Times New Roman"/>
                <w:sz w:val="24"/>
                <w:szCs w:val="24"/>
              </w:rPr>
              <m:t>H</m:t>
            </m:r>
          </m:sup>
        </m:sSubSup>
      </m:oMath>
      <w:r w:rsidRPr="00D42AF0">
        <w:rPr>
          <w:rFonts w:ascii="Times New Roman" w:eastAsiaTheme="minorEastAsia" w:hAnsi="Times New Roman" w:cs="Times New Roman"/>
          <w:sz w:val="24"/>
          <w:szCs w:val="24"/>
          <w:lang w:val="en-GB"/>
        </w:rPr>
        <w:tab/>
      </w:r>
      <w:r w:rsidRPr="00D42AF0">
        <w:rPr>
          <w:rFonts w:ascii="Times New Roman" w:eastAsiaTheme="minorEastAsia" w:hAnsi="Times New Roman" w:cs="Times New Roman"/>
          <w:sz w:val="24"/>
          <w:szCs w:val="24"/>
          <w:lang w:val="en-GB"/>
        </w:rPr>
        <w:tab/>
        <w:t>(</w:t>
      </w:r>
      <w:r>
        <w:rPr>
          <w:rFonts w:ascii="Times New Roman" w:eastAsiaTheme="minorEastAsia" w:hAnsi="Times New Roman" w:cs="Times New Roman"/>
          <w:sz w:val="24"/>
          <w:szCs w:val="24"/>
          <w:lang w:val="en-GB"/>
        </w:rPr>
        <w:t>A.1)</w:t>
      </w:r>
    </w:p>
    <w:p w14:paraId="7B08561B" w14:textId="40D5FCE5" w:rsidR="00D42AF0" w:rsidRPr="00D42AF0" w:rsidRDefault="00D42AF0" w:rsidP="00D42AF0">
      <w:pPr>
        <w:ind w:left="2608"/>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               </w:t>
      </w:r>
      <m:oMath>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F</m:t>
            </m:r>
          </m:sup>
        </m:sSubSup>
        <m:r>
          <w:rPr>
            <w:rFonts w:ascii="Cambria Math" w:hAnsi="Cambria Math" w:cs="Times New Roman"/>
            <w:sz w:val="24"/>
            <w:szCs w:val="24"/>
            <w:lang w:val="en-GB"/>
          </w:rPr>
          <m:t>+∆</m:t>
        </m:r>
        <m:r>
          <w:rPr>
            <w:rFonts w:ascii="Cambria Math" w:hAnsi="Cambria Math" w:cs="Times New Roman"/>
            <w:sz w:val="24"/>
            <w:szCs w:val="24"/>
          </w:rPr>
          <m:t>v</m:t>
        </m:r>
      </m:oMath>
      <w:r w:rsidRPr="00D42AF0">
        <w:rPr>
          <w:rFonts w:ascii="Times New Roman" w:eastAsiaTheme="minorEastAsia" w:hAnsi="Times New Roman" w:cs="Times New Roman"/>
          <w:sz w:val="24"/>
          <w:szCs w:val="24"/>
          <w:lang w:val="en-GB"/>
        </w:rPr>
        <w:t xml:space="preserve">                                            (A.2)</w:t>
      </w:r>
    </w:p>
    <w:p w14:paraId="70229DB0" w14:textId="7EF63E36" w:rsidR="00D42AF0" w:rsidRPr="00D42AF0" w:rsidRDefault="00D42AF0" w:rsidP="00D42AF0">
      <w:pPr>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                                                          </w:t>
      </w:r>
      <m:oMath>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N</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T</m:t>
            </m:r>
          </m:sub>
          <m:sup>
            <m:r>
              <w:rPr>
                <w:rFonts w:ascii="Cambria Math" w:hAnsi="Cambria Math" w:cs="Times New Roman"/>
                <w:sz w:val="24"/>
                <w:szCs w:val="24"/>
              </w:rPr>
              <m:t>H</m:t>
            </m:r>
          </m:sup>
        </m:sSubSup>
      </m:oMath>
      <w:r w:rsidRPr="00D42AF0">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                                                   (A.3)</w:t>
      </w:r>
    </w:p>
    <w:p w14:paraId="6990B96B" w14:textId="7181F078" w:rsidR="00D42AF0" w:rsidRPr="00D42AF0" w:rsidRDefault="00D42AF0" w:rsidP="00D42AF0">
      <w:pPr>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                                                           </w:t>
      </w:r>
      <m:oMath>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N</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N</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N</m:t>
            </m:r>
          </m:sub>
          <m:sup>
            <m:r>
              <w:rPr>
                <w:rFonts w:ascii="Cambria Math" w:hAnsi="Cambria Math" w:cs="Times New Roman"/>
                <w:sz w:val="24"/>
                <w:szCs w:val="24"/>
              </w:rPr>
              <m:t>H</m:t>
            </m:r>
          </m:sup>
        </m:sSubSup>
      </m:oMath>
      <w:r w:rsidRPr="00D42AF0">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                                       (A.4)</w:t>
      </w:r>
    </w:p>
    <w:p w14:paraId="15011AB6" w14:textId="134D5D31" w:rsidR="00D42AF0" w:rsidRDefault="00D42AF0" w:rsidP="00D42AF0">
      <w:pPr>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                                                           </w:t>
      </w:r>
      <m:oMath>
        <m:r>
          <w:rPr>
            <w:rFonts w:ascii="Cambria Math" w:hAnsi="Cambria Math" w:cs="Times New Roman"/>
            <w:sz w:val="24"/>
            <w:szCs w:val="24"/>
            <w:lang w:val="en-GB"/>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m:t>
            </m:r>
          </m:e>
          <m:sup>
            <m:r>
              <w:rPr>
                <w:rFonts w:ascii="Cambria Math" w:eastAsiaTheme="minorEastAsia" w:hAnsi="Cambria Math" w:cs="Times New Roman"/>
                <w:sz w:val="24"/>
                <w:szCs w:val="24"/>
              </w:rPr>
              <m:t>H</m:t>
            </m:r>
          </m:sup>
        </m:sSup>
        <m:r>
          <w:rPr>
            <w:rFonts w:ascii="Cambria Math" w:eastAsiaTheme="minorEastAsia" w:hAnsi="Cambria Math" w:cs="Times New Roman"/>
            <w:sz w:val="24"/>
            <w:szCs w:val="24"/>
            <w:lang w:val="en-GB"/>
          </w:rPr>
          <m:t>=</m:t>
        </m:r>
        <m:r>
          <w:rPr>
            <w:rFonts w:ascii="Cambria Math" w:eastAsiaTheme="minorEastAsia" w:hAnsi="Cambria Math" w:cs="Times New Roman"/>
            <w:sz w:val="24"/>
            <w:szCs w:val="24"/>
          </w:rPr>
          <m:t>α</m:t>
        </m:r>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m:t>
        </m:r>
        <m:d>
          <m:dPr>
            <m:ctrlPr>
              <w:rPr>
                <w:rFonts w:ascii="Cambria Math" w:hAnsi="Cambria Math" w:cs="Times New Roman"/>
                <w:i/>
                <w:sz w:val="24"/>
                <w:szCs w:val="24"/>
                <w:lang w:val="en-GB"/>
              </w:rPr>
            </m:ctrlPr>
          </m:dPr>
          <m:e>
            <m:r>
              <w:rPr>
                <w:rFonts w:ascii="Cambria Math" w:hAnsi="Cambria Math" w:cs="Times New Roman"/>
                <w:sz w:val="24"/>
                <w:szCs w:val="24"/>
                <w:lang w:val="en-GB"/>
              </w:rPr>
              <m:t>1-</m:t>
            </m:r>
            <m:r>
              <w:rPr>
                <w:rFonts w:ascii="Cambria Math" w:eastAsiaTheme="minorEastAsia" w:hAnsi="Cambria Math" w:cs="Times New Roman"/>
                <w:sz w:val="24"/>
                <w:szCs w:val="24"/>
              </w:rPr>
              <m:t>α</m:t>
            </m:r>
            <m:ctrlPr>
              <w:rPr>
                <w:rFonts w:ascii="Cambria Math" w:eastAsiaTheme="minorEastAsia" w:hAnsi="Cambria Math" w:cs="Times New Roman"/>
                <w:i/>
                <w:sz w:val="24"/>
                <w:szCs w:val="24"/>
                <w:lang w:val="en-GB"/>
              </w:rPr>
            </m:ctrlPr>
          </m:e>
        </m:d>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N</m:t>
            </m:r>
          </m:sub>
          <m:sup>
            <m:r>
              <w:rPr>
                <w:rFonts w:ascii="Cambria Math" w:hAnsi="Cambria Math" w:cs="Times New Roman"/>
                <w:sz w:val="24"/>
                <w:szCs w:val="24"/>
              </w:rPr>
              <m:t>H</m:t>
            </m:r>
          </m:sup>
        </m:sSubSup>
        <m:r>
          <w:rPr>
            <w:rFonts w:ascii="Cambria Math" w:hAnsi="Cambria Math" w:cs="Times New Roman"/>
            <w:sz w:val="24"/>
            <w:szCs w:val="24"/>
            <w:lang w:val="en-GB"/>
          </w:rPr>
          <m:t>,</m:t>
        </m:r>
      </m:oMath>
      <w:r w:rsidRPr="00D42AF0">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                        (A.5)</w:t>
      </w:r>
    </w:p>
    <w:p w14:paraId="45394B63" w14:textId="5C4D0F35" w:rsidR="00D42AF0" w:rsidRDefault="00D42AF0" w:rsidP="00D42AF0">
      <w:pPr>
        <w:spacing w:line="360"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where </w:t>
      </w:r>
      <m:oMath>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T</m:t>
            </m:r>
          </m:sub>
          <m:sup>
            <m:r>
              <w:rPr>
                <w:rFonts w:ascii="Cambria Math" w:hAnsi="Cambria Math" w:cs="Times New Roman"/>
                <w:sz w:val="24"/>
                <w:szCs w:val="24"/>
              </w:rPr>
              <m:t>H</m:t>
            </m:r>
          </m:sup>
        </m:sSubSup>
      </m:oMath>
      <w:r w:rsidRPr="00D42AF0">
        <w:rPr>
          <w:rFonts w:ascii="Times New Roman" w:eastAsiaTheme="minorEastAsia" w:hAnsi="Times New Roman" w:cs="Times New Roman"/>
          <w:sz w:val="24"/>
          <w:szCs w:val="24"/>
          <w:lang w:val="en-GB"/>
        </w:rPr>
        <w:t xml:space="preserve"> is </w:t>
      </w:r>
      <w:r>
        <w:rPr>
          <w:rFonts w:ascii="Times New Roman" w:eastAsiaTheme="minorEastAsia" w:hAnsi="Times New Roman" w:cs="Times New Roman"/>
          <w:sz w:val="24"/>
          <w:szCs w:val="24"/>
          <w:lang w:val="en-GB"/>
        </w:rPr>
        <w:t xml:space="preserve">the percentage change in the tradables sector wage, </w:t>
      </w:r>
      <m:oMath>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H</m:t>
            </m:r>
          </m:sup>
        </m:sSubSup>
      </m:oMath>
      <w:r w:rsidRPr="00D42AF0">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the percentage change in the domestic-currency price of tradables, </w:t>
      </w:r>
      <m:oMath>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m:t>
            </m:r>
          </m:sub>
          <m:sup>
            <m:r>
              <w:rPr>
                <w:rFonts w:ascii="Cambria Math" w:hAnsi="Cambria Math" w:cs="Times New Roman"/>
                <w:sz w:val="24"/>
                <w:szCs w:val="24"/>
              </w:rPr>
              <m:t>H</m:t>
            </m:r>
          </m:sup>
        </m:sSubSup>
      </m:oMath>
      <w:r w:rsidRPr="00D42AF0">
        <w:rPr>
          <w:rFonts w:ascii="Times New Roman" w:eastAsiaTheme="minorEastAsia" w:hAnsi="Times New Roman" w:cs="Times New Roman"/>
          <w:sz w:val="24"/>
          <w:szCs w:val="24"/>
          <w:lang w:val="en-GB"/>
        </w:rPr>
        <w:t xml:space="preserve"> the percentage change in the tradables sector productivity, </w:t>
      </w:r>
      <m:oMath>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F</m:t>
            </m:r>
          </m:sup>
        </m:sSubSup>
      </m:oMath>
      <w:r w:rsidRPr="00D42AF0">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the percentage change in the foreign-currency price of tradables, </w:t>
      </w:r>
      <m:oMath>
        <m:r>
          <w:rPr>
            <w:rFonts w:ascii="Cambria Math" w:hAnsi="Cambria Math" w:cs="Times New Roman"/>
            <w:sz w:val="24"/>
            <w:szCs w:val="24"/>
            <w:lang w:val="en-GB"/>
          </w:rPr>
          <m:t>∆</m:t>
        </m:r>
        <m:r>
          <w:rPr>
            <w:rFonts w:ascii="Cambria Math" w:hAnsi="Cambria Math" w:cs="Times New Roman"/>
            <w:sz w:val="24"/>
            <w:szCs w:val="24"/>
          </w:rPr>
          <m:t>v</m:t>
        </m:r>
      </m:oMath>
      <w:r>
        <w:rPr>
          <w:rFonts w:ascii="Times New Roman" w:eastAsiaTheme="minorEastAsia" w:hAnsi="Times New Roman" w:cs="Times New Roman"/>
          <w:sz w:val="24"/>
          <w:szCs w:val="24"/>
          <w:lang w:val="en-GB"/>
        </w:rPr>
        <w:t xml:space="preserve"> the percentage exchange rate depreciation, </w:t>
      </w:r>
      <m:oMath>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N</m:t>
            </m:r>
          </m:sub>
          <m:sup>
            <m:r>
              <w:rPr>
                <w:rFonts w:ascii="Cambria Math" w:hAnsi="Cambria Math" w:cs="Times New Roman"/>
                <w:sz w:val="24"/>
                <w:szCs w:val="24"/>
              </w:rPr>
              <m:t>H</m:t>
            </m:r>
          </m:sup>
        </m:sSubSup>
      </m:oMath>
      <w:r w:rsidRPr="00D42AF0">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the percentage change in the non-tradables sector wage, </w:t>
      </w:r>
      <m:oMath>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N</m:t>
            </m:r>
          </m:sub>
          <m:sup>
            <m:r>
              <w:rPr>
                <w:rFonts w:ascii="Cambria Math" w:hAnsi="Cambria Math" w:cs="Times New Roman"/>
                <w:sz w:val="24"/>
                <w:szCs w:val="24"/>
              </w:rPr>
              <m:t>H</m:t>
            </m:r>
          </m:sup>
        </m:sSubSup>
      </m:oMath>
      <w:r>
        <w:rPr>
          <w:rFonts w:ascii="Times New Roman" w:eastAsiaTheme="minorEastAsia" w:hAnsi="Times New Roman" w:cs="Times New Roman"/>
          <w:sz w:val="24"/>
          <w:szCs w:val="24"/>
          <w:lang w:val="en-GB"/>
        </w:rPr>
        <w:t xml:space="preserve"> the percentage change in the price of nontradables, </w:t>
      </w:r>
      <m:oMath>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N</m:t>
            </m:r>
          </m:sub>
          <m:sup>
            <m:r>
              <w:rPr>
                <w:rFonts w:ascii="Cambria Math" w:hAnsi="Cambria Math" w:cs="Times New Roman"/>
                <w:sz w:val="24"/>
                <w:szCs w:val="24"/>
              </w:rPr>
              <m:t>H</m:t>
            </m:r>
          </m:sup>
        </m:sSubSup>
      </m:oMath>
      <w:r w:rsidRPr="00D42AF0">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the percentage change in </w:t>
      </w:r>
      <w:r>
        <w:rPr>
          <w:rFonts w:ascii="Times New Roman" w:eastAsiaTheme="minorEastAsia" w:hAnsi="Times New Roman" w:cs="Times New Roman"/>
          <w:sz w:val="24"/>
          <w:szCs w:val="24"/>
          <w:lang w:val="en-GB"/>
        </w:rPr>
        <w:lastRenderedPageBreak/>
        <w:t xml:space="preserve">the nontradables sector productivity, </w:t>
      </w:r>
      <m:oMath>
        <m:r>
          <w:rPr>
            <w:rFonts w:ascii="Cambria Math" w:hAnsi="Cambria Math" w:cs="Times New Roman"/>
            <w:sz w:val="24"/>
            <w:szCs w:val="24"/>
            <w:lang w:val="en-GB"/>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m:t>
            </m:r>
          </m:e>
          <m:sup>
            <m:r>
              <w:rPr>
                <w:rFonts w:ascii="Cambria Math" w:eastAsiaTheme="minorEastAsia" w:hAnsi="Cambria Math" w:cs="Times New Roman"/>
                <w:sz w:val="24"/>
                <w:szCs w:val="24"/>
              </w:rPr>
              <m:t>H</m:t>
            </m:r>
          </m:sup>
        </m:sSup>
      </m:oMath>
      <w:r w:rsidRPr="00D42AF0">
        <w:rPr>
          <w:rFonts w:ascii="Times New Roman" w:eastAsiaTheme="minorEastAsia" w:hAnsi="Times New Roman" w:cs="Times New Roman"/>
          <w:sz w:val="24"/>
          <w:szCs w:val="24"/>
          <w:lang w:val="en-GB"/>
        </w:rPr>
        <w:t>t</w:t>
      </w:r>
      <w:r>
        <w:rPr>
          <w:rFonts w:ascii="Times New Roman" w:eastAsiaTheme="minorEastAsia" w:hAnsi="Times New Roman" w:cs="Times New Roman"/>
          <w:sz w:val="24"/>
          <w:szCs w:val="24"/>
          <w:lang w:val="en-GB"/>
        </w:rPr>
        <w:t xml:space="preserve">he percentage change in the CPI,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lang w:val="en-GB"/>
        </w:rPr>
        <w:t xml:space="preserve"> the weight of tradables in the CPI, and </w:t>
      </w:r>
      <m:oMath>
        <m:d>
          <m:dPr>
            <m:ctrlPr>
              <w:rPr>
                <w:rFonts w:ascii="Cambria Math" w:hAnsi="Cambria Math" w:cs="Times New Roman"/>
                <w:i/>
                <w:sz w:val="24"/>
                <w:szCs w:val="24"/>
                <w:lang w:val="en-GB"/>
              </w:rPr>
            </m:ctrlPr>
          </m:dPr>
          <m:e>
            <m:r>
              <w:rPr>
                <w:rFonts w:ascii="Cambria Math" w:hAnsi="Cambria Math" w:cs="Times New Roman"/>
                <w:sz w:val="24"/>
                <w:szCs w:val="24"/>
                <w:lang w:val="en-GB"/>
              </w:rPr>
              <m:t>1-</m:t>
            </m:r>
            <m:r>
              <w:rPr>
                <w:rFonts w:ascii="Cambria Math" w:eastAsiaTheme="minorEastAsia" w:hAnsi="Cambria Math" w:cs="Times New Roman"/>
                <w:sz w:val="24"/>
                <w:szCs w:val="24"/>
              </w:rPr>
              <m:t>α</m:t>
            </m:r>
            <m:ctrlPr>
              <w:rPr>
                <w:rFonts w:ascii="Cambria Math" w:eastAsiaTheme="minorEastAsia" w:hAnsi="Cambria Math" w:cs="Times New Roman"/>
                <w:i/>
                <w:sz w:val="24"/>
                <w:szCs w:val="24"/>
                <w:lang w:val="en-GB"/>
              </w:rPr>
            </m:ctrlPr>
          </m:e>
        </m:d>
      </m:oMath>
      <w:r>
        <w:rPr>
          <w:rFonts w:ascii="Times New Roman" w:eastAsiaTheme="minorEastAsia" w:hAnsi="Times New Roman" w:cs="Times New Roman"/>
          <w:sz w:val="24"/>
          <w:szCs w:val="24"/>
          <w:lang w:val="en-GB"/>
        </w:rPr>
        <w:t xml:space="preserve"> the weight of nontradables in the CPI.</w:t>
      </w:r>
    </w:p>
    <w:p w14:paraId="3A54500A" w14:textId="42F907CA" w:rsidR="00D42AF0" w:rsidRDefault="00D42AF0" w:rsidP="00D42AF0">
      <w:pPr>
        <w:spacing w:line="360"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Combining the five equations gives</w:t>
      </w:r>
      <w:r w:rsidR="00D17C7E">
        <w:rPr>
          <w:rFonts w:ascii="Times New Roman" w:eastAsiaTheme="minorEastAsia" w:hAnsi="Times New Roman" w:cs="Times New Roman"/>
          <w:sz w:val="24"/>
          <w:szCs w:val="24"/>
          <w:lang w:val="en-GB"/>
        </w:rPr>
        <w:t>:</w:t>
      </w:r>
    </w:p>
    <w:p w14:paraId="52AB9B3C" w14:textId="689F87AB" w:rsidR="00D42AF0" w:rsidRPr="006550EC" w:rsidRDefault="006550EC" w:rsidP="00D42AF0">
      <w:pPr>
        <w:jc w:val="both"/>
        <w:rPr>
          <w:rFonts w:ascii="Times New Roman" w:eastAsiaTheme="minorEastAsia" w:hAnsi="Times New Roman" w:cs="Times New Roman"/>
          <w:sz w:val="24"/>
          <w:szCs w:val="24"/>
          <w:lang w:val="en-GB"/>
        </w:rPr>
      </w:pPr>
      <m:oMathPara>
        <m:oMath>
          <m:r>
            <w:rPr>
              <w:rFonts w:ascii="Cambria Math" w:hAnsi="Cambria Math" w:cs="Times New Roman"/>
              <w:sz w:val="24"/>
              <w:szCs w:val="24"/>
              <w:lang w:val="en-GB"/>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m:t>
              </m:r>
            </m:e>
            <m:sup>
              <m:r>
                <w:rPr>
                  <w:rFonts w:ascii="Cambria Math" w:eastAsiaTheme="minorEastAsia" w:hAnsi="Cambria Math" w:cs="Times New Roman"/>
                  <w:sz w:val="24"/>
                  <w:szCs w:val="24"/>
                </w:rPr>
                <m:t>H</m:t>
              </m:r>
            </m:sup>
          </m:sSup>
          <m:r>
            <w:rPr>
              <w:rFonts w:ascii="Cambria Math" w:eastAsiaTheme="minorEastAsia" w:hAnsi="Cambria Math" w:cs="Times New Roman"/>
              <w:sz w:val="24"/>
              <w:szCs w:val="24"/>
              <w:lang w:val="en-GB"/>
            </w:rPr>
            <m:t>=</m:t>
          </m:r>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F</m:t>
              </m:r>
            </m:sup>
          </m:sSubSup>
          <m:r>
            <w:rPr>
              <w:rFonts w:ascii="Cambria Math" w:hAnsi="Cambria Math" w:cs="Times New Roman"/>
              <w:sz w:val="24"/>
              <w:szCs w:val="24"/>
              <w:lang w:val="en-GB"/>
            </w:rPr>
            <m:t>+∆</m:t>
          </m:r>
          <m:r>
            <w:rPr>
              <w:rFonts w:ascii="Cambria Math" w:hAnsi="Cambria Math" w:cs="Times New Roman"/>
              <w:sz w:val="24"/>
              <w:szCs w:val="24"/>
            </w:rPr>
            <m:t>v</m:t>
          </m:r>
          <m:r>
            <w:rPr>
              <w:rFonts w:ascii="Cambria Math" w:hAnsi="Cambria Math" w:cs="Times New Roman"/>
              <w:sz w:val="24"/>
              <w:szCs w:val="24"/>
              <w:lang w:val="en-GB"/>
            </w:rPr>
            <m:t>+</m:t>
          </m:r>
          <m:d>
            <m:dPr>
              <m:ctrlPr>
                <w:rPr>
                  <w:rFonts w:ascii="Cambria Math" w:hAnsi="Cambria Math" w:cs="Times New Roman"/>
                  <w:i/>
                  <w:sz w:val="24"/>
                  <w:szCs w:val="24"/>
                  <w:lang w:val="en-GB"/>
                </w:rPr>
              </m:ctrlPr>
            </m:dPr>
            <m:e>
              <m:r>
                <w:rPr>
                  <w:rFonts w:ascii="Cambria Math" w:hAnsi="Cambria Math" w:cs="Times New Roman"/>
                  <w:sz w:val="24"/>
                  <w:szCs w:val="24"/>
                  <w:lang w:val="en-GB"/>
                </w:rPr>
                <m:t>1-</m:t>
              </m:r>
              <m:r>
                <w:rPr>
                  <w:rFonts w:ascii="Cambria Math" w:eastAsiaTheme="minorEastAsia" w:hAnsi="Cambria Math" w:cs="Times New Roman"/>
                  <w:sz w:val="24"/>
                  <w:szCs w:val="24"/>
                </w:rPr>
                <m:t>α</m:t>
              </m:r>
              <m:ctrlPr>
                <w:rPr>
                  <w:rFonts w:ascii="Cambria Math" w:eastAsiaTheme="minorEastAsia" w:hAnsi="Cambria Math" w:cs="Times New Roman"/>
                  <w:i/>
                  <w:sz w:val="24"/>
                  <w:szCs w:val="24"/>
                  <w:lang w:val="en-GB"/>
                </w:rPr>
              </m:ctrlPr>
            </m:e>
          </m:d>
          <m:d>
            <m:dPr>
              <m:ctrlPr>
                <w:rPr>
                  <w:rFonts w:ascii="Cambria Math" w:eastAsiaTheme="minorEastAsia" w:hAnsi="Cambria Math" w:cs="Times New Roman"/>
                  <w:i/>
                  <w:sz w:val="24"/>
                  <w:szCs w:val="24"/>
                  <w:lang w:val="en-GB"/>
                </w:rPr>
              </m:ctrlPr>
            </m:dPr>
            <m:e>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N</m:t>
                  </m:r>
                </m:sub>
                <m:sup>
                  <m:r>
                    <w:rPr>
                      <w:rFonts w:ascii="Cambria Math" w:hAnsi="Cambria Math" w:cs="Times New Roman"/>
                      <w:sz w:val="24"/>
                      <w:szCs w:val="24"/>
                    </w:rPr>
                    <m:t>H</m:t>
                  </m:r>
                </m:sup>
              </m:sSubSup>
              <m:ctrlPr>
                <w:rPr>
                  <w:rFonts w:ascii="Cambria Math" w:hAnsi="Cambria Math" w:cs="Times New Roman"/>
                  <w:i/>
                  <w:sz w:val="24"/>
                  <w:szCs w:val="24"/>
                </w:rPr>
              </m:ctrlPr>
            </m:e>
          </m:d>
          <m:r>
            <w:rPr>
              <w:rFonts w:ascii="Cambria Math" w:hAnsi="Cambria Math" w:cs="Times New Roman"/>
              <w:sz w:val="24"/>
              <w:szCs w:val="24"/>
              <w:lang w:val="en-GB"/>
            </w:rPr>
            <m:t>.</m:t>
          </m:r>
        </m:oMath>
      </m:oMathPara>
    </w:p>
    <w:p w14:paraId="432D473D" w14:textId="397B9050" w:rsidR="006550EC" w:rsidRDefault="006550EC" w:rsidP="00D42AF0">
      <w:pPr>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Hence, to reach an inflation target </w:t>
      </w:r>
      <m:oMath>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Target</m:t>
            </m:r>
          </m:sub>
          <m:sup>
            <m:r>
              <w:rPr>
                <w:rFonts w:ascii="Cambria Math" w:hAnsi="Cambria Math" w:cs="Times New Roman"/>
                <w:sz w:val="24"/>
                <w:szCs w:val="24"/>
              </w:rPr>
              <m:t>H</m:t>
            </m:r>
          </m:sup>
        </m:sSubSup>
      </m:oMath>
      <w:r w:rsidRPr="006550EC">
        <w:rPr>
          <w:rFonts w:ascii="Times New Roman" w:eastAsiaTheme="minorEastAsia" w:hAnsi="Times New Roman" w:cs="Times New Roman"/>
          <w:sz w:val="24"/>
          <w:szCs w:val="24"/>
          <w:lang w:val="en-GB"/>
        </w:rPr>
        <w:t>,</w:t>
      </w:r>
      <w:r>
        <w:rPr>
          <w:rFonts w:ascii="Times New Roman" w:eastAsiaTheme="minorEastAsia" w:hAnsi="Times New Roman" w:cs="Times New Roman"/>
          <w:sz w:val="24"/>
          <w:szCs w:val="24"/>
          <w:lang w:val="en-GB"/>
        </w:rPr>
        <w:t xml:space="preserve"> there has to be an exchange rate depreciation of:</w:t>
      </w:r>
    </w:p>
    <w:p w14:paraId="6D5BC873" w14:textId="4FC8C592" w:rsidR="006550EC" w:rsidRDefault="006550EC" w:rsidP="00D42AF0">
      <w:pPr>
        <w:jc w:val="both"/>
        <w:rPr>
          <w:rFonts w:ascii="Times New Roman" w:eastAsiaTheme="minorEastAsia" w:hAnsi="Times New Roman" w:cs="Times New Roman"/>
          <w:sz w:val="24"/>
          <w:szCs w:val="24"/>
          <w:lang w:val="en-GB"/>
        </w:rPr>
      </w:pPr>
      <m:oMath>
        <m:r>
          <w:rPr>
            <w:rFonts w:ascii="Cambria Math" w:hAnsi="Cambria Math" w:cs="Times New Roman"/>
            <w:sz w:val="24"/>
            <w:szCs w:val="24"/>
            <w:lang w:val="en-GB"/>
          </w:rPr>
          <m:t xml:space="preserve">                                                  ∆</m:t>
        </m:r>
        <m:r>
          <w:rPr>
            <w:rFonts w:ascii="Cambria Math" w:hAnsi="Cambria Math" w:cs="Times New Roman"/>
            <w:sz w:val="24"/>
            <w:szCs w:val="24"/>
          </w:rPr>
          <m:t>v</m:t>
        </m:r>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Target</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F</m:t>
            </m:r>
          </m:sup>
        </m:sSubSup>
        <m:r>
          <w:rPr>
            <w:rFonts w:ascii="Cambria Math" w:hAnsi="Cambria Math" w:cs="Times New Roman"/>
            <w:sz w:val="24"/>
            <w:szCs w:val="24"/>
            <w:lang w:val="en-GB"/>
          </w:rPr>
          <m:t>-</m:t>
        </m:r>
        <m:d>
          <m:dPr>
            <m:ctrlPr>
              <w:rPr>
                <w:rFonts w:ascii="Cambria Math" w:hAnsi="Cambria Math" w:cs="Times New Roman"/>
                <w:i/>
                <w:sz w:val="24"/>
                <w:szCs w:val="24"/>
                <w:lang w:val="en-GB"/>
              </w:rPr>
            </m:ctrlPr>
          </m:dPr>
          <m:e>
            <m:r>
              <w:rPr>
                <w:rFonts w:ascii="Cambria Math" w:hAnsi="Cambria Math" w:cs="Times New Roman"/>
                <w:sz w:val="24"/>
                <w:szCs w:val="24"/>
                <w:lang w:val="en-GB"/>
              </w:rPr>
              <m:t>1-</m:t>
            </m:r>
            <m:r>
              <w:rPr>
                <w:rFonts w:ascii="Cambria Math" w:eastAsiaTheme="minorEastAsia" w:hAnsi="Cambria Math" w:cs="Times New Roman"/>
                <w:sz w:val="24"/>
                <w:szCs w:val="24"/>
              </w:rPr>
              <m:t>α</m:t>
            </m:r>
            <m:ctrlPr>
              <w:rPr>
                <w:rFonts w:ascii="Cambria Math" w:eastAsiaTheme="minorEastAsia" w:hAnsi="Cambria Math" w:cs="Times New Roman"/>
                <w:i/>
                <w:sz w:val="24"/>
                <w:szCs w:val="24"/>
                <w:lang w:val="en-GB"/>
              </w:rPr>
            </m:ctrlPr>
          </m:e>
        </m:d>
        <m:d>
          <m:dPr>
            <m:ctrlPr>
              <w:rPr>
                <w:rFonts w:ascii="Cambria Math" w:eastAsiaTheme="minorEastAsia" w:hAnsi="Cambria Math" w:cs="Times New Roman"/>
                <w:i/>
                <w:sz w:val="24"/>
                <w:szCs w:val="24"/>
                <w:lang w:val="en-GB"/>
              </w:rPr>
            </m:ctrlPr>
          </m:dPr>
          <m:e>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N</m:t>
                </m:r>
              </m:sub>
              <m:sup>
                <m:r>
                  <w:rPr>
                    <w:rFonts w:ascii="Cambria Math" w:hAnsi="Cambria Math" w:cs="Times New Roman"/>
                    <w:sz w:val="24"/>
                    <w:szCs w:val="24"/>
                  </w:rPr>
                  <m:t>H</m:t>
                </m:r>
              </m:sup>
            </m:sSubSup>
            <m:ctrlPr>
              <w:rPr>
                <w:rFonts w:ascii="Cambria Math" w:hAnsi="Cambria Math" w:cs="Times New Roman"/>
                <w:i/>
                <w:sz w:val="24"/>
                <w:szCs w:val="24"/>
              </w:rPr>
            </m:ctrlPr>
          </m:e>
        </m:d>
        <m:r>
          <w:rPr>
            <w:rFonts w:ascii="Cambria Math" w:hAnsi="Cambria Math" w:cs="Times New Roman"/>
            <w:sz w:val="24"/>
            <w:szCs w:val="24"/>
            <w:lang w:val="en-GB"/>
          </w:rPr>
          <m:t>.</m:t>
        </m:r>
      </m:oMath>
      <w:r w:rsidRPr="006550EC">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             (A.6)</w:t>
      </w:r>
    </w:p>
    <w:p w14:paraId="02E6A169" w14:textId="1B970186" w:rsidR="001C54E3" w:rsidRDefault="001C54E3" w:rsidP="00D42AF0">
      <w:pPr>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Inserting e</w:t>
      </w:r>
      <w:r w:rsidR="00281569">
        <w:rPr>
          <w:rFonts w:ascii="Times New Roman" w:eastAsiaTheme="minorEastAsia" w:hAnsi="Times New Roman" w:cs="Times New Roman"/>
          <w:sz w:val="24"/>
          <w:szCs w:val="24"/>
          <w:lang w:val="en-GB"/>
        </w:rPr>
        <w:t xml:space="preserve">quations (A,2) and (A.6) into </w:t>
      </w:r>
      <w:r w:rsidR="005536F9">
        <w:rPr>
          <w:rFonts w:ascii="Times New Roman" w:eastAsiaTheme="minorEastAsia" w:hAnsi="Times New Roman" w:cs="Times New Roman"/>
          <w:sz w:val="24"/>
          <w:szCs w:val="24"/>
          <w:lang w:val="en-GB"/>
        </w:rPr>
        <w:t>equation (A.1)</w:t>
      </w:r>
      <w:r w:rsidR="00110279">
        <w:rPr>
          <w:rFonts w:ascii="Times New Roman" w:eastAsiaTheme="minorEastAsia" w:hAnsi="Times New Roman" w:cs="Times New Roman"/>
          <w:sz w:val="24"/>
          <w:szCs w:val="24"/>
          <w:lang w:val="en-GB"/>
        </w:rPr>
        <w:t>, one obtains:</w:t>
      </w:r>
    </w:p>
    <w:p w14:paraId="3842FDD7" w14:textId="52CB45BE" w:rsidR="00110279" w:rsidRPr="002E0246" w:rsidRDefault="00141387" w:rsidP="00D42AF0">
      <w:pPr>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                                         </w:t>
      </w:r>
      <m:oMath>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eastAsiaTheme="minorEastAsia" w:hAnsi="Cambria Math" w:cs="Times New Roman"/>
            <w:sz w:val="24"/>
            <w:szCs w:val="24"/>
            <w:lang w:val="en-GB"/>
          </w:rPr>
          <m:t>=</m:t>
        </m:r>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Target</m:t>
            </m:r>
          </m:sub>
          <m:sup>
            <m:r>
              <w:rPr>
                <w:rFonts w:ascii="Cambria Math" w:hAnsi="Cambria Math" w:cs="Times New Roman"/>
                <w:sz w:val="24"/>
                <w:szCs w:val="24"/>
              </w:rPr>
              <m:t>H</m:t>
            </m:r>
          </m:sup>
        </m:sSubSup>
        <m:r>
          <w:rPr>
            <w:rFonts w:ascii="Cambria Math" w:hAnsi="Cambria Math" w:cs="Times New Roman"/>
            <w:sz w:val="24"/>
            <w:szCs w:val="24"/>
            <w:lang w:val="en-GB"/>
          </w:rPr>
          <m:t>+</m:t>
        </m:r>
        <m:r>
          <w:rPr>
            <w:rFonts w:ascii="Cambria Math" w:eastAsiaTheme="minorEastAsia" w:hAnsi="Cambria Math" w:cs="Times New Roman"/>
            <w:sz w:val="24"/>
            <w:szCs w:val="24"/>
            <w:lang w:val="en-GB"/>
          </w:rPr>
          <m:t xml:space="preserve"> </m:t>
        </m:r>
        <m:r>
          <w:rPr>
            <w:rFonts w:ascii="Cambria Math" w:eastAsiaTheme="minorEastAsia" w:hAnsi="Cambria Math" w:cs="Times New Roman"/>
            <w:sz w:val="24"/>
            <w:szCs w:val="24"/>
          </w:rPr>
          <m:t>α</m:t>
        </m:r>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m:t>
            </m:r>
          </m:sub>
          <m:sup>
            <m:r>
              <w:rPr>
                <w:rFonts w:ascii="Cambria Math" w:hAnsi="Cambria Math" w:cs="Times New Roman"/>
                <w:sz w:val="24"/>
                <w:szCs w:val="24"/>
              </w:rPr>
              <m:t>H</m:t>
            </m:r>
          </m:sup>
        </m:sSubSup>
        <m:r>
          <w:rPr>
            <w:rFonts w:ascii="Cambria Math" w:hAnsi="Cambria Math" w:cs="Times New Roman"/>
            <w:sz w:val="24"/>
            <w:szCs w:val="24"/>
            <w:lang w:val="en-GB"/>
          </w:rPr>
          <m:t>+</m:t>
        </m:r>
        <m:d>
          <m:dPr>
            <m:ctrlPr>
              <w:rPr>
                <w:rFonts w:ascii="Cambria Math" w:hAnsi="Cambria Math" w:cs="Times New Roman"/>
                <w:i/>
                <w:sz w:val="24"/>
                <w:szCs w:val="24"/>
                <w:lang w:val="en-GB"/>
              </w:rPr>
            </m:ctrlPr>
          </m:dPr>
          <m:e>
            <m:r>
              <w:rPr>
                <w:rFonts w:ascii="Cambria Math" w:hAnsi="Cambria Math" w:cs="Times New Roman"/>
                <w:sz w:val="24"/>
                <w:szCs w:val="24"/>
                <w:lang w:val="en-GB"/>
              </w:rPr>
              <m:t>1-</m:t>
            </m:r>
            <m:r>
              <w:rPr>
                <w:rFonts w:ascii="Cambria Math" w:eastAsiaTheme="minorEastAsia" w:hAnsi="Cambria Math" w:cs="Times New Roman"/>
                <w:sz w:val="24"/>
                <w:szCs w:val="24"/>
              </w:rPr>
              <m:t>α</m:t>
            </m:r>
            <m:ctrlPr>
              <w:rPr>
                <w:rFonts w:ascii="Cambria Math" w:eastAsiaTheme="minorEastAsia" w:hAnsi="Cambria Math" w:cs="Times New Roman"/>
                <w:i/>
                <w:sz w:val="24"/>
                <w:szCs w:val="24"/>
                <w:lang w:val="en-GB"/>
              </w:rPr>
            </m:ctrlPr>
          </m:e>
        </m:d>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N</m:t>
            </m:r>
          </m:sub>
          <m:sup>
            <m:r>
              <w:rPr>
                <w:rFonts w:ascii="Cambria Math" w:hAnsi="Cambria Math" w:cs="Times New Roman"/>
                <w:sz w:val="24"/>
                <w:szCs w:val="24"/>
              </w:rPr>
              <m:t>H</m:t>
            </m:r>
          </m:sup>
        </m:sSubSup>
        <m:r>
          <w:rPr>
            <w:rFonts w:ascii="Cambria Math" w:hAnsi="Cambria Math" w:cs="Times New Roman"/>
            <w:sz w:val="24"/>
            <w:szCs w:val="24"/>
            <w:lang w:val="en-GB"/>
          </w:rPr>
          <m:t>.</m:t>
        </m:r>
      </m:oMath>
      <w:r w:rsidR="002E0246" w:rsidRPr="002E0246">
        <w:rPr>
          <w:rFonts w:ascii="Times New Roman" w:eastAsiaTheme="minorEastAsia" w:hAnsi="Times New Roman" w:cs="Times New Roman"/>
          <w:sz w:val="24"/>
          <w:szCs w:val="24"/>
          <w:lang w:val="en-GB"/>
        </w:rPr>
        <w:t xml:space="preserve"> </w:t>
      </w:r>
      <w:r w:rsidR="002E0246">
        <w:rPr>
          <w:rFonts w:ascii="Times New Roman" w:eastAsiaTheme="minorEastAsia" w:hAnsi="Times New Roman" w:cs="Times New Roman"/>
          <w:sz w:val="24"/>
          <w:szCs w:val="24"/>
          <w:lang w:val="en-GB"/>
        </w:rPr>
        <w:t xml:space="preserve">                        </w:t>
      </w:r>
      <w:r w:rsidR="00D40BED">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w:t>
      </w:r>
      <w:r w:rsidR="00D40BED">
        <w:rPr>
          <w:rFonts w:ascii="Times New Roman" w:eastAsiaTheme="minorEastAsia" w:hAnsi="Times New Roman" w:cs="Times New Roman"/>
          <w:sz w:val="24"/>
          <w:szCs w:val="24"/>
          <w:lang w:val="en-GB"/>
        </w:rPr>
        <w:t>A.7)</w:t>
      </w:r>
      <w:r w:rsidR="002E0246">
        <w:rPr>
          <w:rFonts w:ascii="Times New Roman" w:eastAsiaTheme="minorEastAsia" w:hAnsi="Times New Roman" w:cs="Times New Roman"/>
          <w:sz w:val="24"/>
          <w:szCs w:val="24"/>
          <w:lang w:val="en-GB"/>
        </w:rPr>
        <w:t xml:space="preserve">     </w:t>
      </w:r>
    </w:p>
    <w:p w14:paraId="1D366490" w14:textId="7C0CEEFC" w:rsidR="00051189" w:rsidRPr="002A7712" w:rsidRDefault="00051189" w:rsidP="00F77E6F">
      <w:pPr>
        <w:spacing w:line="360" w:lineRule="auto"/>
        <w:jc w:val="both"/>
        <w:rPr>
          <w:rFonts w:ascii="Times New Roman" w:eastAsiaTheme="minorEastAsia" w:hAnsi="Times New Roman" w:cs="Times New Roman"/>
          <w:sz w:val="24"/>
          <w:szCs w:val="24"/>
          <w:lang w:val="en-GB"/>
        </w:rPr>
      </w:pPr>
      <w:r w:rsidRPr="002A7712">
        <w:rPr>
          <w:rFonts w:ascii="Times New Roman" w:eastAsiaTheme="minorEastAsia" w:hAnsi="Times New Roman" w:cs="Times New Roman"/>
          <w:sz w:val="24"/>
          <w:szCs w:val="24"/>
          <w:lang w:val="en-GB"/>
        </w:rPr>
        <w:t xml:space="preserve">Thus, </w:t>
      </w:r>
      <w:r w:rsidR="00432E65">
        <w:rPr>
          <w:rFonts w:ascii="Times New Roman" w:eastAsiaTheme="minorEastAsia" w:hAnsi="Times New Roman" w:cs="Times New Roman"/>
          <w:sz w:val="24"/>
          <w:szCs w:val="24"/>
          <w:lang w:val="en-GB"/>
        </w:rPr>
        <w:t xml:space="preserve">if </w:t>
      </w:r>
      <w:r w:rsidR="00C85F94">
        <w:rPr>
          <w:rFonts w:ascii="Times New Roman" w:eastAsiaTheme="minorEastAsia" w:hAnsi="Times New Roman" w:cs="Times New Roman"/>
          <w:sz w:val="24"/>
          <w:szCs w:val="24"/>
          <w:lang w:val="en-GB"/>
        </w:rPr>
        <w:t>the exchange</w:t>
      </w:r>
      <w:r w:rsidR="00432E65">
        <w:rPr>
          <w:rFonts w:ascii="Times New Roman" w:eastAsiaTheme="minorEastAsia" w:hAnsi="Times New Roman" w:cs="Times New Roman"/>
          <w:sz w:val="24"/>
          <w:szCs w:val="24"/>
          <w:lang w:val="en-GB"/>
        </w:rPr>
        <w:t xml:space="preserve"> rate adjusts so that the inflation target is met</w:t>
      </w:r>
      <w:r w:rsidR="00113F5F">
        <w:rPr>
          <w:rFonts w:ascii="Times New Roman" w:eastAsiaTheme="minorEastAsia" w:hAnsi="Times New Roman" w:cs="Times New Roman"/>
          <w:sz w:val="24"/>
          <w:szCs w:val="24"/>
          <w:lang w:val="en-GB"/>
        </w:rPr>
        <w:t xml:space="preserve"> (and the other pr</w:t>
      </w:r>
      <w:r w:rsidR="00942954">
        <w:rPr>
          <w:rFonts w:ascii="Times New Roman" w:eastAsiaTheme="minorEastAsia" w:hAnsi="Times New Roman" w:cs="Times New Roman"/>
          <w:sz w:val="24"/>
          <w:szCs w:val="24"/>
          <w:lang w:val="en-GB"/>
        </w:rPr>
        <w:t>ice- and wage-setting assumption</w:t>
      </w:r>
      <w:r w:rsidR="00774552">
        <w:rPr>
          <w:rFonts w:ascii="Times New Roman" w:eastAsiaTheme="minorEastAsia" w:hAnsi="Times New Roman" w:cs="Times New Roman"/>
          <w:sz w:val="24"/>
          <w:szCs w:val="24"/>
          <w:lang w:val="en-GB"/>
        </w:rPr>
        <w:t>s of the Scandinavian model hold)</w:t>
      </w:r>
      <w:r w:rsidR="00432E65">
        <w:rPr>
          <w:rFonts w:ascii="Times New Roman" w:eastAsiaTheme="minorEastAsia" w:hAnsi="Times New Roman" w:cs="Times New Roman"/>
          <w:sz w:val="24"/>
          <w:szCs w:val="24"/>
          <w:lang w:val="en-GB"/>
        </w:rPr>
        <w:t>, wage</w:t>
      </w:r>
      <w:r w:rsidR="003E52D5">
        <w:rPr>
          <w:rFonts w:ascii="Times New Roman" w:eastAsiaTheme="minorEastAsia" w:hAnsi="Times New Roman" w:cs="Times New Roman"/>
          <w:sz w:val="24"/>
          <w:szCs w:val="24"/>
          <w:lang w:val="en-GB"/>
        </w:rPr>
        <w:t xml:space="preserve"> increases equal to the sum of the inflation target and average productivity growth in the economy</w:t>
      </w:r>
      <w:r w:rsidR="00311F97">
        <w:rPr>
          <w:rFonts w:ascii="Times New Roman" w:eastAsiaTheme="minorEastAsia" w:hAnsi="Times New Roman" w:cs="Times New Roman"/>
          <w:sz w:val="24"/>
          <w:szCs w:val="24"/>
          <w:lang w:val="en-GB"/>
        </w:rPr>
        <w:t xml:space="preserve"> imply that the</w:t>
      </w:r>
      <w:r w:rsidR="004306E3">
        <w:rPr>
          <w:rFonts w:ascii="Times New Roman" w:eastAsiaTheme="minorEastAsia" w:hAnsi="Times New Roman" w:cs="Times New Roman"/>
          <w:sz w:val="24"/>
          <w:szCs w:val="24"/>
          <w:lang w:val="en-GB"/>
        </w:rPr>
        <w:t xml:space="preserve"> </w:t>
      </w:r>
      <w:r w:rsidR="009F2D4A">
        <w:rPr>
          <w:rFonts w:ascii="Times New Roman" w:eastAsiaTheme="minorEastAsia" w:hAnsi="Times New Roman" w:cs="Times New Roman"/>
          <w:sz w:val="24"/>
          <w:szCs w:val="24"/>
          <w:lang w:val="en-GB"/>
        </w:rPr>
        <w:t xml:space="preserve">norm </w:t>
      </w:r>
      <w:r w:rsidR="003A3D58">
        <w:rPr>
          <w:rFonts w:ascii="Times New Roman" w:eastAsiaTheme="minorEastAsia" w:hAnsi="Times New Roman" w:cs="Times New Roman"/>
          <w:sz w:val="24"/>
          <w:szCs w:val="24"/>
          <w:lang w:val="en-GB"/>
        </w:rPr>
        <w:t xml:space="preserve">of wage increases </w:t>
      </w:r>
      <w:r w:rsidR="0031655A">
        <w:rPr>
          <w:rFonts w:ascii="Times New Roman" w:eastAsiaTheme="minorEastAsia" w:hAnsi="Times New Roman" w:cs="Times New Roman"/>
          <w:sz w:val="24"/>
          <w:szCs w:val="24"/>
          <w:lang w:val="en-GB"/>
        </w:rPr>
        <w:t xml:space="preserve">given by the sum of price and productivity increases in the tradables sector </w:t>
      </w:r>
      <w:r w:rsidR="005E0AEE">
        <w:rPr>
          <w:rFonts w:ascii="Times New Roman" w:eastAsiaTheme="minorEastAsia" w:hAnsi="Times New Roman" w:cs="Times New Roman"/>
          <w:sz w:val="24"/>
          <w:szCs w:val="24"/>
          <w:lang w:val="en-GB"/>
        </w:rPr>
        <w:t>is followed.</w:t>
      </w:r>
      <w:r w:rsidR="003476DE">
        <w:rPr>
          <w:rStyle w:val="FootnoteReference"/>
          <w:rFonts w:ascii="Times New Roman" w:eastAsiaTheme="minorEastAsia" w:hAnsi="Times New Roman" w:cs="Times New Roman"/>
          <w:sz w:val="24"/>
          <w:szCs w:val="24"/>
          <w:lang w:val="en-GB"/>
        </w:rPr>
        <w:footnoteReference w:id="44"/>
      </w:r>
      <w:r w:rsidR="00311F97">
        <w:rPr>
          <w:rFonts w:ascii="Times New Roman" w:eastAsiaTheme="minorEastAsia" w:hAnsi="Times New Roman" w:cs="Times New Roman"/>
          <w:sz w:val="24"/>
          <w:szCs w:val="24"/>
          <w:lang w:val="en-GB"/>
        </w:rPr>
        <w:t xml:space="preserve"> </w:t>
      </w:r>
    </w:p>
    <w:p w14:paraId="4B5DF05C" w14:textId="77777777" w:rsidR="00AD72A1" w:rsidRPr="00E96AB3" w:rsidRDefault="00AD72A1" w:rsidP="00B31E2D">
      <w:pPr>
        <w:spacing w:line="360" w:lineRule="auto"/>
        <w:jc w:val="both"/>
        <w:rPr>
          <w:rFonts w:ascii="Times New Roman" w:hAnsi="Times New Roman" w:cs="Times New Roman"/>
          <w:i/>
          <w:iCs/>
          <w:sz w:val="24"/>
          <w:szCs w:val="24"/>
          <w:lang w:val="en-GB"/>
        </w:rPr>
      </w:pPr>
    </w:p>
    <w:sectPr w:rsidR="00AD72A1" w:rsidRPr="00E96AB3">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327B2" w14:textId="77777777" w:rsidR="009D75D9" w:rsidRDefault="009D75D9" w:rsidP="00456EAC">
      <w:pPr>
        <w:spacing w:after="0" w:line="240" w:lineRule="auto"/>
      </w:pPr>
      <w:r>
        <w:separator/>
      </w:r>
    </w:p>
  </w:endnote>
  <w:endnote w:type="continuationSeparator" w:id="0">
    <w:p w14:paraId="6862ABB4" w14:textId="77777777" w:rsidR="009D75D9" w:rsidRDefault="009D75D9" w:rsidP="0045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Century Old Style">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484D0" w14:textId="77777777" w:rsidR="009D75D9" w:rsidRDefault="009D75D9" w:rsidP="00456EAC">
      <w:pPr>
        <w:spacing w:after="0" w:line="240" w:lineRule="auto"/>
      </w:pPr>
      <w:r>
        <w:separator/>
      </w:r>
    </w:p>
  </w:footnote>
  <w:footnote w:type="continuationSeparator" w:id="0">
    <w:p w14:paraId="0F12A8A5" w14:textId="77777777" w:rsidR="009D75D9" w:rsidRDefault="009D75D9" w:rsidP="00456EAC">
      <w:pPr>
        <w:spacing w:after="0" w:line="240" w:lineRule="auto"/>
      </w:pPr>
      <w:r>
        <w:continuationSeparator/>
      </w:r>
    </w:p>
  </w:footnote>
  <w:footnote w:id="1">
    <w:p w14:paraId="39F3F8D9" w14:textId="70C811DB" w:rsidR="00456EAC" w:rsidRPr="00A668A7" w:rsidRDefault="00456EAC">
      <w:pPr>
        <w:pStyle w:val="FootnoteText"/>
        <w:rPr>
          <w:rFonts w:ascii="Times New Roman" w:hAnsi="Times New Roman" w:cs="Times New Roman"/>
          <w:lang w:val="en-GB"/>
        </w:rPr>
      </w:pPr>
      <w:r w:rsidRPr="00A668A7">
        <w:rPr>
          <w:rStyle w:val="FootnoteReference"/>
          <w:rFonts w:ascii="Times New Roman" w:hAnsi="Times New Roman" w:cs="Times New Roman"/>
        </w:rPr>
        <w:footnoteRef/>
      </w:r>
      <w:r w:rsidRPr="00A668A7">
        <w:rPr>
          <w:rFonts w:ascii="Times New Roman" w:hAnsi="Times New Roman" w:cs="Times New Roman"/>
          <w:lang w:val="en-GB"/>
        </w:rPr>
        <w:t xml:space="preserve"> Professor Emeritus, Research Institute of Industrial Economics and Institute for International Economic Studies, Stockholm University. Email: lars.calmfors@ifn.se</w:t>
      </w:r>
      <w:r w:rsidR="00A668A7">
        <w:rPr>
          <w:rFonts w:ascii="Times New Roman" w:hAnsi="Times New Roman" w:cs="Times New Roman"/>
          <w:lang w:val="en-GB"/>
        </w:rPr>
        <w:t>.</w:t>
      </w:r>
    </w:p>
  </w:footnote>
  <w:footnote w:id="2">
    <w:p w14:paraId="167436C2" w14:textId="7F76E347" w:rsidR="006618B2" w:rsidRPr="00913A8C" w:rsidRDefault="006618B2">
      <w:pPr>
        <w:pStyle w:val="FootnoteText"/>
        <w:rPr>
          <w:lang w:val="en-GB"/>
        </w:rPr>
      </w:pPr>
      <w:r>
        <w:rPr>
          <w:rStyle w:val="FootnoteReference"/>
        </w:rPr>
        <w:footnoteRef/>
      </w:r>
      <w:r w:rsidRPr="000F0818">
        <w:rPr>
          <w:lang w:val="en-GB"/>
        </w:rPr>
        <w:t xml:space="preserve"> </w:t>
      </w:r>
      <w:r w:rsidR="000F0818" w:rsidRPr="00913A8C">
        <w:rPr>
          <w:rFonts w:ascii="Times New Roman" w:hAnsi="Times New Roman" w:cs="Times New Roman"/>
          <w:lang w:val="en-GB"/>
        </w:rPr>
        <w:t>The account is based on more detailed des</w:t>
      </w:r>
      <w:r w:rsidR="00DC7D5C" w:rsidRPr="00913A8C">
        <w:rPr>
          <w:rFonts w:ascii="Times New Roman" w:hAnsi="Times New Roman" w:cs="Times New Roman"/>
          <w:lang w:val="en-GB"/>
        </w:rPr>
        <w:t>criptions in Andersen et al. (20</w:t>
      </w:r>
      <w:r w:rsidR="00700738" w:rsidRPr="00913A8C">
        <w:rPr>
          <w:rFonts w:ascii="Times New Roman" w:hAnsi="Times New Roman" w:cs="Times New Roman"/>
          <w:lang w:val="en-GB"/>
        </w:rPr>
        <w:t xml:space="preserve">15), </w:t>
      </w:r>
      <w:r w:rsidR="00E126A6" w:rsidRPr="00913A8C">
        <w:rPr>
          <w:rFonts w:ascii="Times New Roman" w:hAnsi="Times New Roman" w:cs="Times New Roman"/>
          <w:lang w:val="en-GB"/>
        </w:rPr>
        <w:t>Ibsen (2016)</w:t>
      </w:r>
      <w:r w:rsidR="00523BA2" w:rsidRPr="00913A8C">
        <w:rPr>
          <w:rFonts w:ascii="Times New Roman" w:hAnsi="Times New Roman" w:cs="Times New Roman"/>
          <w:lang w:val="en-GB"/>
        </w:rPr>
        <w:t>,</w:t>
      </w:r>
      <w:r w:rsidR="00523BA2">
        <w:rPr>
          <w:lang w:val="en-GB"/>
        </w:rPr>
        <w:t xml:space="preserve"> </w:t>
      </w:r>
      <w:r w:rsidR="00523BA2" w:rsidRPr="00913A8C">
        <w:rPr>
          <w:rFonts w:ascii="Times New Roman" w:hAnsi="Times New Roman" w:cs="Times New Roman"/>
          <w:lang w:val="en-GB"/>
        </w:rPr>
        <w:t xml:space="preserve">Lønstrukturkomitéen </w:t>
      </w:r>
      <w:r w:rsidR="00A668A7">
        <w:rPr>
          <w:rFonts w:ascii="Times New Roman" w:hAnsi="Times New Roman" w:cs="Times New Roman"/>
          <w:lang w:val="en-GB"/>
        </w:rPr>
        <w:t>(</w:t>
      </w:r>
      <w:r w:rsidR="00523BA2" w:rsidRPr="00913A8C">
        <w:rPr>
          <w:rFonts w:ascii="Times New Roman" w:hAnsi="Times New Roman" w:cs="Times New Roman"/>
          <w:lang w:val="en-GB"/>
        </w:rPr>
        <w:t>2023</w:t>
      </w:r>
      <w:r w:rsidR="00A668A7">
        <w:rPr>
          <w:rFonts w:ascii="Times New Roman" w:hAnsi="Times New Roman" w:cs="Times New Roman"/>
          <w:lang w:val="en-GB"/>
        </w:rPr>
        <w:t>)</w:t>
      </w:r>
      <w:r w:rsidR="00913A8C">
        <w:rPr>
          <w:rFonts w:ascii="Times New Roman" w:hAnsi="Times New Roman" w:cs="Times New Roman"/>
          <w:lang w:val="en-GB"/>
        </w:rPr>
        <w:t xml:space="preserve"> and Holden IV</w:t>
      </w:r>
      <w:r w:rsidR="00681CD3">
        <w:rPr>
          <w:rFonts w:ascii="Times New Roman" w:hAnsi="Times New Roman" w:cs="Times New Roman"/>
          <w:lang w:val="en-GB"/>
        </w:rPr>
        <w:t>-utvalget</w:t>
      </w:r>
      <w:r w:rsidR="00913A8C">
        <w:rPr>
          <w:rFonts w:ascii="Times New Roman" w:hAnsi="Times New Roman" w:cs="Times New Roman"/>
          <w:lang w:val="en-GB"/>
        </w:rPr>
        <w:t xml:space="preserve"> (</w:t>
      </w:r>
      <w:r w:rsidR="00A668A7">
        <w:rPr>
          <w:rFonts w:ascii="Times New Roman" w:hAnsi="Times New Roman" w:cs="Times New Roman"/>
          <w:lang w:val="en-GB"/>
        </w:rPr>
        <w:t>2023).</w:t>
      </w:r>
    </w:p>
  </w:footnote>
  <w:footnote w:id="3">
    <w:p w14:paraId="5413254E" w14:textId="79D06575" w:rsidR="00584756" w:rsidRPr="00FC3443" w:rsidRDefault="00584756">
      <w:pPr>
        <w:pStyle w:val="FootnoteText"/>
        <w:rPr>
          <w:rFonts w:ascii="Times New Roman" w:hAnsi="Times New Roman" w:cs="Times New Roman"/>
          <w:lang w:val="en-GB"/>
        </w:rPr>
      </w:pPr>
      <w:r w:rsidRPr="00FC3443">
        <w:rPr>
          <w:rStyle w:val="FootnoteReference"/>
          <w:rFonts w:ascii="Times New Roman" w:hAnsi="Times New Roman" w:cs="Times New Roman"/>
        </w:rPr>
        <w:footnoteRef/>
      </w:r>
      <w:r w:rsidRPr="00FC3443">
        <w:rPr>
          <w:rFonts w:ascii="Times New Roman" w:hAnsi="Times New Roman" w:cs="Times New Roman"/>
          <w:lang w:val="en-GB"/>
        </w:rPr>
        <w:t xml:space="preserve"> </w:t>
      </w:r>
      <w:r w:rsidR="00FC3443" w:rsidRPr="00FC3443">
        <w:rPr>
          <w:rFonts w:ascii="Times New Roman" w:hAnsi="Times New Roman" w:cs="Times New Roman"/>
          <w:lang w:val="en-GB"/>
        </w:rPr>
        <w:t>See Calmfors (2018), Calmfors et a</w:t>
      </w:r>
      <w:r w:rsidR="00FC3443">
        <w:rPr>
          <w:rFonts w:ascii="Times New Roman" w:hAnsi="Times New Roman" w:cs="Times New Roman"/>
          <w:lang w:val="en-GB"/>
        </w:rPr>
        <w:t>l. (2019), Andersen (2023), Holden IV</w:t>
      </w:r>
      <w:r w:rsidR="00696FEF">
        <w:rPr>
          <w:rFonts w:ascii="Times New Roman" w:hAnsi="Times New Roman" w:cs="Times New Roman"/>
          <w:lang w:val="en-GB"/>
        </w:rPr>
        <w:t>-utvalget</w:t>
      </w:r>
      <w:r w:rsidR="00FC3443">
        <w:rPr>
          <w:rFonts w:ascii="Times New Roman" w:hAnsi="Times New Roman" w:cs="Times New Roman"/>
          <w:lang w:val="en-GB"/>
        </w:rPr>
        <w:t xml:space="preserve"> (2023) and Bender (2024) for more detailed accounts.</w:t>
      </w:r>
    </w:p>
  </w:footnote>
  <w:footnote w:id="4">
    <w:p w14:paraId="2DADF359" w14:textId="725A03AA" w:rsidR="00023202" w:rsidRPr="00975C0F" w:rsidRDefault="00023202">
      <w:pPr>
        <w:pStyle w:val="FootnoteText"/>
        <w:rPr>
          <w:rFonts w:ascii="Times New Roman" w:hAnsi="Times New Roman" w:cs="Times New Roman"/>
          <w:lang w:val="en-GB"/>
        </w:rPr>
      </w:pPr>
      <w:r>
        <w:rPr>
          <w:rStyle w:val="FootnoteReference"/>
        </w:rPr>
        <w:footnoteRef/>
      </w:r>
      <w:r w:rsidRPr="00023202">
        <w:rPr>
          <w:lang w:val="en-GB"/>
        </w:rPr>
        <w:t xml:space="preserve"> </w:t>
      </w:r>
      <w:r w:rsidRPr="008D76D4">
        <w:rPr>
          <w:rFonts w:ascii="Times New Roman" w:hAnsi="Times New Roman" w:cs="Times New Roman"/>
          <w:lang w:val="en-GB"/>
        </w:rPr>
        <w:t>The main signatories</w:t>
      </w:r>
      <w:r w:rsidR="008E07B3" w:rsidRPr="008D76D4">
        <w:rPr>
          <w:rFonts w:ascii="Times New Roman" w:hAnsi="Times New Roman" w:cs="Times New Roman"/>
          <w:lang w:val="en-GB"/>
        </w:rPr>
        <w:t xml:space="preserve"> </w:t>
      </w:r>
      <w:r w:rsidR="00CE0F5F" w:rsidRPr="008D76D4">
        <w:rPr>
          <w:rFonts w:ascii="Times New Roman" w:hAnsi="Times New Roman" w:cs="Times New Roman"/>
          <w:lang w:val="en-GB"/>
        </w:rPr>
        <w:t>are</w:t>
      </w:r>
      <w:r w:rsidR="002B5945" w:rsidRPr="008D76D4">
        <w:rPr>
          <w:rFonts w:ascii="Times New Roman" w:hAnsi="Times New Roman" w:cs="Times New Roman"/>
          <w:lang w:val="en-GB"/>
        </w:rPr>
        <w:t xml:space="preserve"> on the union side</w:t>
      </w:r>
      <w:r w:rsidR="00CE0F5F" w:rsidRPr="008D76D4">
        <w:rPr>
          <w:rFonts w:ascii="Times New Roman" w:hAnsi="Times New Roman" w:cs="Times New Roman"/>
          <w:lang w:val="en-GB"/>
        </w:rPr>
        <w:t xml:space="preserve"> </w:t>
      </w:r>
      <w:r w:rsidR="00155A7C" w:rsidRPr="008D76D4">
        <w:rPr>
          <w:rFonts w:ascii="Times New Roman" w:hAnsi="Times New Roman" w:cs="Times New Roman"/>
          <w:i/>
          <w:iCs/>
          <w:lang w:val="en-GB"/>
        </w:rPr>
        <w:t>IF Metall</w:t>
      </w:r>
      <w:r w:rsidR="008E07B3" w:rsidRPr="008D76D4">
        <w:rPr>
          <w:rFonts w:ascii="Times New Roman" w:hAnsi="Times New Roman" w:cs="Times New Roman"/>
          <w:i/>
          <w:iCs/>
          <w:lang w:val="en-GB"/>
        </w:rPr>
        <w:t xml:space="preserve"> </w:t>
      </w:r>
      <w:r w:rsidR="00EC47C4" w:rsidRPr="008D76D4">
        <w:rPr>
          <w:rFonts w:ascii="Times New Roman" w:hAnsi="Times New Roman" w:cs="Times New Roman"/>
          <w:lang w:val="en-GB"/>
        </w:rPr>
        <w:t>(for blue-collar metal workers),</w:t>
      </w:r>
      <w:r w:rsidR="00155A7C" w:rsidRPr="008D76D4">
        <w:rPr>
          <w:rFonts w:ascii="Times New Roman" w:hAnsi="Times New Roman" w:cs="Times New Roman"/>
          <w:i/>
          <w:iCs/>
          <w:lang w:val="en-GB"/>
        </w:rPr>
        <w:t xml:space="preserve"> </w:t>
      </w:r>
      <w:r w:rsidR="004D3302" w:rsidRPr="008D76D4">
        <w:rPr>
          <w:rFonts w:ascii="Times New Roman" w:hAnsi="Times New Roman" w:cs="Times New Roman"/>
          <w:i/>
          <w:iCs/>
          <w:lang w:val="en-GB"/>
        </w:rPr>
        <w:t>Unionen</w:t>
      </w:r>
      <w:r w:rsidR="004D7D4A" w:rsidRPr="008D76D4">
        <w:rPr>
          <w:rFonts w:ascii="Times New Roman" w:hAnsi="Times New Roman" w:cs="Times New Roman"/>
          <w:i/>
          <w:iCs/>
          <w:lang w:val="en-GB"/>
        </w:rPr>
        <w:t xml:space="preserve"> </w:t>
      </w:r>
      <w:r w:rsidR="004D7D4A" w:rsidRPr="008D76D4">
        <w:rPr>
          <w:rFonts w:ascii="Times New Roman" w:hAnsi="Times New Roman" w:cs="Times New Roman"/>
          <w:lang w:val="en-GB"/>
        </w:rPr>
        <w:t>(</w:t>
      </w:r>
      <w:r w:rsidR="00361A91" w:rsidRPr="008D76D4">
        <w:rPr>
          <w:rFonts w:ascii="Times New Roman" w:hAnsi="Times New Roman" w:cs="Times New Roman"/>
          <w:lang w:val="en-GB"/>
        </w:rPr>
        <w:t xml:space="preserve">white-collar workers) and </w:t>
      </w:r>
      <w:r w:rsidR="00D22A70" w:rsidRPr="008D76D4">
        <w:rPr>
          <w:rFonts w:ascii="Times New Roman" w:hAnsi="Times New Roman" w:cs="Times New Roman"/>
          <w:i/>
          <w:iCs/>
          <w:lang w:val="en-GB"/>
        </w:rPr>
        <w:t xml:space="preserve">Sveriges ingenjörer </w:t>
      </w:r>
      <w:r w:rsidR="00D22A70" w:rsidRPr="008D76D4">
        <w:rPr>
          <w:rFonts w:ascii="Times New Roman" w:hAnsi="Times New Roman" w:cs="Times New Roman"/>
          <w:lang w:val="en-GB"/>
        </w:rPr>
        <w:t>(</w:t>
      </w:r>
      <w:r w:rsidR="00641150" w:rsidRPr="008D76D4">
        <w:rPr>
          <w:rFonts w:ascii="Times New Roman" w:hAnsi="Times New Roman" w:cs="Times New Roman"/>
          <w:lang w:val="en-GB"/>
        </w:rPr>
        <w:t>E</w:t>
      </w:r>
      <w:r w:rsidR="00D22A70" w:rsidRPr="008D76D4">
        <w:rPr>
          <w:rFonts w:ascii="Times New Roman" w:hAnsi="Times New Roman" w:cs="Times New Roman"/>
          <w:lang w:val="en-GB"/>
        </w:rPr>
        <w:t>ngineers</w:t>
      </w:r>
      <w:r w:rsidR="00641150" w:rsidRPr="008D76D4">
        <w:rPr>
          <w:rFonts w:ascii="Times New Roman" w:hAnsi="Times New Roman" w:cs="Times New Roman"/>
          <w:lang w:val="en-GB"/>
        </w:rPr>
        <w:t xml:space="preserve"> of Sweden</w:t>
      </w:r>
      <w:r w:rsidR="00D22A70" w:rsidRPr="008D76D4">
        <w:rPr>
          <w:rFonts w:ascii="Times New Roman" w:hAnsi="Times New Roman" w:cs="Times New Roman"/>
          <w:lang w:val="en-GB"/>
        </w:rPr>
        <w:t>) and on the employer side</w:t>
      </w:r>
      <w:r w:rsidR="00641150" w:rsidRPr="008D76D4">
        <w:rPr>
          <w:rFonts w:ascii="Times New Roman" w:hAnsi="Times New Roman" w:cs="Times New Roman"/>
          <w:lang w:val="en-GB"/>
        </w:rPr>
        <w:t xml:space="preserve"> </w:t>
      </w:r>
      <w:r w:rsidR="0073155B">
        <w:rPr>
          <w:rFonts w:ascii="Times New Roman" w:hAnsi="Times New Roman" w:cs="Times New Roman"/>
          <w:i/>
          <w:iCs/>
          <w:lang w:val="en-GB"/>
        </w:rPr>
        <w:t>T</w:t>
      </w:r>
      <w:r w:rsidR="00641150" w:rsidRPr="008D76D4">
        <w:rPr>
          <w:rFonts w:ascii="Times New Roman" w:hAnsi="Times New Roman" w:cs="Times New Roman"/>
          <w:i/>
          <w:iCs/>
          <w:lang w:val="en-GB"/>
        </w:rPr>
        <w:t xml:space="preserve">eknikföretagen </w:t>
      </w:r>
      <w:r w:rsidR="00153261" w:rsidRPr="008D76D4">
        <w:rPr>
          <w:rFonts w:ascii="Times New Roman" w:hAnsi="Times New Roman" w:cs="Times New Roman"/>
          <w:lang w:val="en-GB"/>
        </w:rPr>
        <w:t>(T</w:t>
      </w:r>
      <w:r w:rsidR="0073155B">
        <w:rPr>
          <w:rFonts w:ascii="Times New Roman" w:hAnsi="Times New Roman" w:cs="Times New Roman"/>
          <w:lang w:val="en-GB"/>
        </w:rPr>
        <w:t>e</w:t>
      </w:r>
      <w:r w:rsidR="00153261" w:rsidRPr="008D76D4">
        <w:rPr>
          <w:rFonts w:ascii="Times New Roman" w:hAnsi="Times New Roman" w:cs="Times New Roman"/>
          <w:lang w:val="en-GB"/>
        </w:rPr>
        <w:t xml:space="preserve">chnology Industries of Sweden) and </w:t>
      </w:r>
      <w:r w:rsidR="00153261" w:rsidRPr="008D76D4">
        <w:rPr>
          <w:rFonts w:ascii="Times New Roman" w:hAnsi="Times New Roman" w:cs="Times New Roman"/>
          <w:i/>
          <w:iCs/>
          <w:lang w:val="en-GB"/>
        </w:rPr>
        <w:t xml:space="preserve">Industriarbetsgivarna </w:t>
      </w:r>
      <w:r w:rsidR="00153261" w:rsidRPr="008D76D4">
        <w:rPr>
          <w:rFonts w:ascii="Times New Roman" w:hAnsi="Times New Roman" w:cs="Times New Roman"/>
          <w:lang w:val="en-GB"/>
        </w:rPr>
        <w:t>(</w:t>
      </w:r>
      <w:r w:rsidR="008D76D4" w:rsidRPr="008D76D4">
        <w:rPr>
          <w:rFonts w:ascii="Times New Roman" w:hAnsi="Times New Roman" w:cs="Times New Roman"/>
          <w:lang w:val="en-GB"/>
        </w:rPr>
        <w:t>Swedish Association of Industry Employers).</w:t>
      </w:r>
      <w:r w:rsidR="00D22A70" w:rsidRPr="008D76D4">
        <w:rPr>
          <w:rFonts w:ascii="Times New Roman" w:hAnsi="Times New Roman" w:cs="Times New Roman"/>
          <w:lang w:val="en-GB"/>
        </w:rPr>
        <w:t xml:space="preserve"> </w:t>
      </w:r>
      <w:r w:rsidR="00F64F91">
        <w:rPr>
          <w:rFonts w:ascii="Times New Roman" w:hAnsi="Times New Roman" w:cs="Times New Roman"/>
          <w:i/>
          <w:iCs/>
          <w:lang w:val="en-GB"/>
        </w:rPr>
        <w:t xml:space="preserve">IF Metall </w:t>
      </w:r>
      <w:r w:rsidR="00F64F91">
        <w:rPr>
          <w:rFonts w:ascii="Times New Roman" w:hAnsi="Times New Roman" w:cs="Times New Roman"/>
          <w:lang w:val="en-GB"/>
        </w:rPr>
        <w:t xml:space="preserve">is the second largest union in </w:t>
      </w:r>
      <w:r w:rsidR="004C30F0">
        <w:rPr>
          <w:rFonts w:ascii="Times New Roman" w:hAnsi="Times New Roman" w:cs="Times New Roman"/>
          <w:lang w:val="en-GB"/>
        </w:rPr>
        <w:t xml:space="preserve">the Swedish Confederation of Labour </w:t>
      </w:r>
      <w:r w:rsidR="002716CC">
        <w:rPr>
          <w:rFonts w:ascii="Times New Roman" w:hAnsi="Times New Roman" w:cs="Times New Roman"/>
          <w:lang w:val="en-GB"/>
        </w:rPr>
        <w:t>(</w:t>
      </w:r>
      <w:r w:rsidR="004C30F0">
        <w:rPr>
          <w:rFonts w:ascii="Times New Roman" w:hAnsi="Times New Roman" w:cs="Times New Roman"/>
          <w:i/>
          <w:iCs/>
          <w:lang w:val="en-GB"/>
        </w:rPr>
        <w:t>LO</w:t>
      </w:r>
      <w:r w:rsidR="002716CC">
        <w:rPr>
          <w:rFonts w:ascii="Times New Roman" w:hAnsi="Times New Roman" w:cs="Times New Roman"/>
          <w:lang w:val="en-GB"/>
        </w:rPr>
        <w:t xml:space="preserve">) and </w:t>
      </w:r>
      <w:r w:rsidR="002716CC">
        <w:rPr>
          <w:rFonts w:ascii="Times New Roman" w:hAnsi="Times New Roman" w:cs="Times New Roman"/>
          <w:i/>
          <w:iCs/>
          <w:lang w:val="en-GB"/>
        </w:rPr>
        <w:t>Unionen</w:t>
      </w:r>
      <w:r w:rsidR="00C63130">
        <w:rPr>
          <w:rFonts w:ascii="Times New Roman" w:hAnsi="Times New Roman" w:cs="Times New Roman"/>
          <w:i/>
          <w:iCs/>
          <w:lang w:val="en-GB"/>
        </w:rPr>
        <w:t xml:space="preserve"> </w:t>
      </w:r>
      <w:r w:rsidR="00C63130">
        <w:rPr>
          <w:rFonts w:ascii="Times New Roman" w:hAnsi="Times New Roman" w:cs="Times New Roman"/>
          <w:lang w:val="en-GB"/>
        </w:rPr>
        <w:t xml:space="preserve">the largest </w:t>
      </w:r>
      <w:r w:rsidR="003556D1">
        <w:rPr>
          <w:rFonts w:ascii="Times New Roman" w:hAnsi="Times New Roman" w:cs="Times New Roman"/>
          <w:lang w:val="en-GB"/>
        </w:rPr>
        <w:t xml:space="preserve">union </w:t>
      </w:r>
      <w:r w:rsidR="00694458">
        <w:rPr>
          <w:rFonts w:ascii="Times New Roman" w:hAnsi="Times New Roman" w:cs="Times New Roman"/>
          <w:lang w:val="en-GB"/>
        </w:rPr>
        <w:t xml:space="preserve">in the Swedish Confederation of Professional Employees </w:t>
      </w:r>
      <w:r w:rsidR="00975C0F">
        <w:rPr>
          <w:rFonts w:ascii="Times New Roman" w:hAnsi="Times New Roman" w:cs="Times New Roman"/>
          <w:lang w:val="en-GB"/>
        </w:rPr>
        <w:t>(</w:t>
      </w:r>
      <w:r w:rsidR="00975C0F">
        <w:rPr>
          <w:rFonts w:ascii="Times New Roman" w:hAnsi="Times New Roman" w:cs="Times New Roman"/>
          <w:i/>
          <w:iCs/>
          <w:lang w:val="en-GB"/>
        </w:rPr>
        <w:t xml:space="preserve">TCO) </w:t>
      </w:r>
      <w:r w:rsidR="00975C0F">
        <w:rPr>
          <w:rFonts w:ascii="Times New Roman" w:hAnsi="Times New Roman" w:cs="Times New Roman"/>
          <w:lang w:val="en-GB"/>
        </w:rPr>
        <w:t>and also in Sweden</w:t>
      </w:r>
      <w:r w:rsidR="008B6323">
        <w:rPr>
          <w:rFonts w:ascii="Times New Roman" w:hAnsi="Times New Roman" w:cs="Times New Roman"/>
          <w:lang w:val="en-GB"/>
        </w:rPr>
        <w:t>.</w:t>
      </w:r>
    </w:p>
  </w:footnote>
  <w:footnote w:id="5">
    <w:p w14:paraId="19F3F920" w14:textId="1CC60136" w:rsidR="00581333" w:rsidRPr="00727E87" w:rsidRDefault="00581333">
      <w:pPr>
        <w:pStyle w:val="FootnoteText"/>
        <w:rPr>
          <w:rFonts w:ascii="Times New Roman" w:hAnsi="Times New Roman" w:cs="Times New Roman"/>
          <w:lang w:val="en-GB"/>
        </w:rPr>
      </w:pPr>
      <w:r>
        <w:rPr>
          <w:rStyle w:val="FootnoteReference"/>
        </w:rPr>
        <w:footnoteRef/>
      </w:r>
      <w:r w:rsidRPr="00727E87">
        <w:rPr>
          <w:lang w:val="en-GB"/>
        </w:rPr>
        <w:t xml:space="preserve"> </w:t>
      </w:r>
      <w:r w:rsidR="00BA6EE7" w:rsidRPr="00727E87">
        <w:rPr>
          <w:rFonts w:ascii="Times New Roman" w:hAnsi="Times New Roman" w:cs="Times New Roman"/>
          <w:i/>
          <w:iCs/>
          <w:lang w:val="en-GB"/>
        </w:rPr>
        <w:t>Svenskt Näringsliv</w:t>
      </w:r>
      <w:r w:rsidR="00BA6EE7" w:rsidRPr="00727E87">
        <w:rPr>
          <w:rFonts w:ascii="Times New Roman" w:hAnsi="Times New Roman" w:cs="Times New Roman"/>
          <w:lang w:val="en-GB"/>
        </w:rPr>
        <w:t xml:space="preserve"> replaced </w:t>
      </w:r>
      <w:r w:rsidR="00727E87" w:rsidRPr="00727E87">
        <w:rPr>
          <w:rFonts w:ascii="Times New Roman" w:hAnsi="Times New Roman" w:cs="Times New Roman"/>
          <w:i/>
          <w:iCs/>
          <w:lang w:val="en-GB"/>
        </w:rPr>
        <w:t>SAF</w:t>
      </w:r>
      <w:r w:rsidR="00727E87" w:rsidRPr="00727E87">
        <w:rPr>
          <w:rFonts w:ascii="Times New Roman" w:hAnsi="Times New Roman" w:cs="Times New Roman"/>
          <w:lang w:val="en-GB"/>
        </w:rPr>
        <w:t xml:space="preserve"> as the peak or</w:t>
      </w:r>
      <w:r w:rsidR="00727E87">
        <w:rPr>
          <w:rFonts w:ascii="Times New Roman" w:hAnsi="Times New Roman" w:cs="Times New Roman"/>
          <w:lang w:val="en-GB"/>
        </w:rPr>
        <w:t>ganisation for private employers in 2001.</w:t>
      </w:r>
    </w:p>
  </w:footnote>
  <w:footnote w:id="6">
    <w:p w14:paraId="5BF7545E" w14:textId="5AC4CE98" w:rsidR="00573AC1" w:rsidRPr="00202F43" w:rsidRDefault="00573AC1">
      <w:pPr>
        <w:pStyle w:val="FootnoteText"/>
        <w:rPr>
          <w:rFonts w:ascii="Times New Roman" w:hAnsi="Times New Roman" w:cs="Times New Roman"/>
        </w:rPr>
      </w:pPr>
      <w:r>
        <w:rPr>
          <w:rStyle w:val="FootnoteReference"/>
        </w:rPr>
        <w:footnoteRef/>
      </w:r>
      <w:r w:rsidRPr="00286CA1">
        <w:rPr>
          <w:lang w:val="en-GB"/>
        </w:rPr>
        <w:t xml:space="preserve"> </w:t>
      </w:r>
      <w:r w:rsidR="00286CA1" w:rsidRPr="00202F43">
        <w:rPr>
          <w:rFonts w:ascii="Times New Roman" w:hAnsi="Times New Roman" w:cs="Times New Roman"/>
          <w:lang w:val="en-GB"/>
        </w:rPr>
        <w:t xml:space="preserve">The account is based on </w:t>
      </w:r>
      <w:r w:rsidR="00B95B65" w:rsidRPr="00202F43">
        <w:rPr>
          <w:rFonts w:ascii="Times New Roman" w:hAnsi="Times New Roman" w:cs="Times New Roman"/>
          <w:lang w:val="en-GB"/>
        </w:rPr>
        <w:t xml:space="preserve">Andersen et al. </w:t>
      </w:r>
      <w:r w:rsidR="00B95B65" w:rsidRPr="00202F43">
        <w:rPr>
          <w:rFonts w:ascii="Times New Roman" w:hAnsi="Times New Roman" w:cs="Times New Roman"/>
        </w:rPr>
        <w:t xml:space="preserve">(2015), </w:t>
      </w:r>
      <w:r w:rsidR="00A92917" w:rsidRPr="00A92917">
        <w:rPr>
          <w:rFonts w:ascii="Times New Roman" w:hAnsi="Times New Roman" w:cs="Times New Roman"/>
        </w:rPr>
        <w:t>M</w:t>
      </w:r>
      <w:r w:rsidR="00A92917" w:rsidRPr="00A92917">
        <w:rPr>
          <w:rStyle w:val="hgkelc"/>
          <w:rFonts w:ascii="Times New Roman" w:hAnsi="Times New Roman" w:cs="Times New Roman"/>
        </w:rPr>
        <w:t>üller</w:t>
      </w:r>
      <w:r w:rsidR="00BF72C6">
        <w:rPr>
          <w:rStyle w:val="hgkelc"/>
          <w:rFonts w:ascii="Times New Roman" w:hAnsi="Times New Roman" w:cs="Times New Roman"/>
        </w:rPr>
        <w:t xml:space="preserve"> et al.</w:t>
      </w:r>
      <w:r w:rsidR="00A92917">
        <w:rPr>
          <w:rStyle w:val="hgkelc"/>
          <w:rFonts w:ascii="Times New Roman" w:hAnsi="Times New Roman" w:cs="Times New Roman"/>
        </w:rPr>
        <w:t xml:space="preserve"> (201</w:t>
      </w:r>
      <w:r w:rsidR="00BF72C6">
        <w:rPr>
          <w:rStyle w:val="hgkelc"/>
          <w:rFonts w:ascii="Times New Roman" w:hAnsi="Times New Roman" w:cs="Times New Roman"/>
        </w:rPr>
        <w:t>9</w:t>
      </w:r>
      <w:r w:rsidR="00A92917">
        <w:rPr>
          <w:rStyle w:val="hgkelc"/>
          <w:rFonts w:ascii="Times New Roman" w:hAnsi="Times New Roman" w:cs="Times New Roman"/>
        </w:rPr>
        <w:t>)</w:t>
      </w:r>
      <w:r w:rsidR="00A92917">
        <w:rPr>
          <w:rStyle w:val="hgkelc"/>
        </w:rPr>
        <w:t xml:space="preserve">, </w:t>
      </w:r>
      <w:r w:rsidR="00286CA1" w:rsidRPr="00202F43">
        <w:rPr>
          <w:rFonts w:ascii="Times New Roman" w:hAnsi="Times New Roman" w:cs="Times New Roman"/>
        </w:rPr>
        <w:t>Andersen (2023)</w:t>
      </w:r>
      <w:r w:rsidR="00696FEF" w:rsidRPr="00202F43">
        <w:rPr>
          <w:rFonts w:ascii="Times New Roman" w:hAnsi="Times New Roman" w:cs="Times New Roman"/>
        </w:rPr>
        <w:t xml:space="preserve"> and Holden IV-utvalget (2023).</w:t>
      </w:r>
    </w:p>
  </w:footnote>
  <w:footnote w:id="7">
    <w:p w14:paraId="10A0D076" w14:textId="5E329FC8" w:rsidR="000F3372" w:rsidRPr="001E2FD4" w:rsidRDefault="000F3372">
      <w:pPr>
        <w:pStyle w:val="FootnoteText"/>
        <w:rPr>
          <w:rFonts w:ascii="Times New Roman" w:hAnsi="Times New Roman" w:cs="Times New Roman"/>
          <w:lang w:val="en-GB"/>
        </w:rPr>
      </w:pPr>
      <w:r w:rsidRPr="001E2FD4">
        <w:rPr>
          <w:rStyle w:val="FootnoteReference"/>
          <w:rFonts w:ascii="Times New Roman" w:hAnsi="Times New Roman" w:cs="Times New Roman"/>
        </w:rPr>
        <w:footnoteRef/>
      </w:r>
      <w:r w:rsidRPr="001E2FD4">
        <w:rPr>
          <w:rFonts w:ascii="Times New Roman" w:hAnsi="Times New Roman" w:cs="Times New Roman"/>
          <w:lang w:val="en-GB"/>
        </w:rPr>
        <w:t xml:space="preserve"> The </w:t>
      </w:r>
      <w:r w:rsidR="004A2EDF" w:rsidRPr="001E2FD4">
        <w:rPr>
          <w:rFonts w:ascii="Times New Roman" w:hAnsi="Times New Roman" w:cs="Times New Roman"/>
          <w:lang w:val="en-GB"/>
        </w:rPr>
        <w:t>commissions published their reports in 2000, 2003, 2013 and 2023</w:t>
      </w:r>
      <w:r w:rsidR="001E2FD4" w:rsidRPr="001E2FD4">
        <w:rPr>
          <w:rFonts w:ascii="Times New Roman" w:hAnsi="Times New Roman" w:cs="Times New Roman"/>
          <w:lang w:val="en-GB"/>
        </w:rPr>
        <w:t>.</w:t>
      </w:r>
      <w:r w:rsidR="002F25AA" w:rsidRPr="001E2FD4">
        <w:rPr>
          <w:rFonts w:ascii="Times New Roman" w:hAnsi="Times New Roman" w:cs="Times New Roman"/>
          <w:lang w:val="en-GB"/>
        </w:rPr>
        <w:t xml:space="preserve"> </w:t>
      </w:r>
    </w:p>
  </w:footnote>
  <w:footnote w:id="8">
    <w:p w14:paraId="43D63FB6" w14:textId="226F1194" w:rsidR="00E03026" w:rsidRPr="00294BB8" w:rsidRDefault="00E03026">
      <w:pPr>
        <w:pStyle w:val="FootnoteText"/>
        <w:rPr>
          <w:lang w:val="en-GB"/>
        </w:rPr>
      </w:pPr>
      <w:r>
        <w:rPr>
          <w:rStyle w:val="FootnoteReference"/>
        </w:rPr>
        <w:footnoteRef/>
      </w:r>
      <w:r w:rsidRPr="00294BB8">
        <w:rPr>
          <w:lang w:val="en-GB"/>
        </w:rPr>
        <w:t xml:space="preserve"> </w:t>
      </w:r>
      <w:r w:rsidRPr="003C4226">
        <w:rPr>
          <w:rFonts w:ascii="Times New Roman" w:hAnsi="Times New Roman" w:cs="Times New Roman"/>
          <w:lang w:val="en-GB"/>
        </w:rPr>
        <w:t>See</w:t>
      </w:r>
      <w:r w:rsidR="00245C41" w:rsidRPr="003C4226">
        <w:rPr>
          <w:rFonts w:ascii="Times New Roman" w:hAnsi="Times New Roman" w:cs="Times New Roman"/>
          <w:lang w:val="en-GB"/>
        </w:rPr>
        <w:t xml:space="preserve"> </w:t>
      </w:r>
      <w:r w:rsidR="00245C41" w:rsidRPr="00294BB8">
        <w:rPr>
          <w:rFonts w:ascii="Times New Roman" w:hAnsi="Times New Roman" w:cs="Times New Roman"/>
          <w:lang w:val="en-GB"/>
        </w:rPr>
        <w:t>M</w:t>
      </w:r>
      <w:r w:rsidR="00245C41" w:rsidRPr="00294BB8">
        <w:rPr>
          <w:rStyle w:val="hgkelc"/>
          <w:rFonts w:ascii="Times New Roman" w:hAnsi="Times New Roman" w:cs="Times New Roman"/>
          <w:lang w:val="en-GB"/>
        </w:rPr>
        <w:t>üller et al. (2019), Jonker-Hoffrén (2019)</w:t>
      </w:r>
      <w:r w:rsidR="0084578B" w:rsidRPr="00294BB8">
        <w:rPr>
          <w:rStyle w:val="hgkelc"/>
          <w:rFonts w:ascii="Times New Roman" w:hAnsi="Times New Roman" w:cs="Times New Roman"/>
          <w:lang w:val="en-GB"/>
        </w:rPr>
        <w:t>, Kauhanen (2024) and Kuuskoski</w:t>
      </w:r>
      <w:r w:rsidR="005D2845" w:rsidRPr="00294BB8">
        <w:rPr>
          <w:rStyle w:val="hgkelc"/>
          <w:rFonts w:ascii="Times New Roman" w:hAnsi="Times New Roman" w:cs="Times New Roman"/>
          <w:lang w:val="en-GB"/>
        </w:rPr>
        <w:t xml:space="preserve"> (2024) for more details.</w:t>
      </w:r>
      <w:r w:rsidRPr="00294BB8">
        <w:rPr>
          <w:lang w:val="en-GB"/>
        </w:rPr>
        <w:t xml:space="preserve"> </w:t>
      </w:r>
    </w:p>
  </w:footnote>
  <w:footnote w:id="9">
    <w:p w14:paraId="395DCA0F" w14:textId="3ED5A2A6" w:rsidR="005561DF" w:rsidRPr="00052B51" w:rsidRDefault="005561DF">
      <w:pPr>
        <w:pStyle w:val="FootnoteText"/>
        <w:rPr>
          <w:rFonts w:ascii="Times New Roman" w:hAnsi="Times New Roman" w:cs="Times New Roman"/>
          <w:lang w:val="en-GB"/>
        </w:rPr>
      </w:pPr>
      <w:r>
        <w:rPr>
          <w:rStyle w:val="FootnoteReference"/>
        </w:rPr>
        <w:footnoteRef/>
      </w:r>
      <w:r w:rsidRPr="005561DF">
        <w:rPr>
          <w:lang w:val="en-GB"/>
        </w:rPr>
        <w:t xml:space="preserve"> </w:t>
      </w:r>
      <w:r w:rsidRPr="00052B51">
        <w:rPr>
          <w:rFonts w:ascii="Times New Roman" w:hAnsi="Times New Roman" w:cs="Times New Roman"/>
          <w:lang w:val="en-GB"/>
        </w:rPr>
        <w:t xml:space="preserve">Somewhat </w:t>
      </w:r>
      <w:r w:rsidR="000131CD" w:rsidRPr="00052B51">
        <w:rPr>
          <w:rFonts w:ascii="Times New Roman" w:hAnsi="Times New Roman" w:cs="Times New Roman"/>
          <w:lang w:val="en-GB"/>
        </w:rPr>
        <w:t>illogically</w:t>
      </w:r>
      <w:r w:rsidRPr="00052B51">
        <w:rPr>
          <w:rFonts w:ascii="Times New Roman" w:hAnsi="Times New Roman" w:cs="Times New Roman"/>
          <w:lang w:val="en-GB"/>
        </w:rPr>
        <w:t xml:space="preserve">, the proposal </w:t>
      </w:r>
      <w:r w:rsidR="000131CD" w:rsidRPr="00052B51">
        <w:rPr>
          <w:rFonts w:ascii="Times New Roman" w:hAnsi="Times New Roman" w:cs="Times New Roman"/>
          <w:lang w:val="en-GB"/>
        </w:rPr>
        <w:t xml:space="preserve">has </w:t>
      </w:r>
      <w:r w:rsidR="0060623B" w:rsidRPr="00052B51">
        <w:rPr>
          <w:rFonts w:ascii="Times New Roman" w:hAnsi="Times New Roman" w:cs="Times New Roman"/>
          <w:lang w:val="en-GB"/>
        </w:rPr>
        <w:t xml:space="preserve">sometimes </w:t>
      </w:r>
      <w:r w:rsidR="000131CD" w:rsidRPr="00052B51">
        <w:rPr>
          <w:rFonts w:ascii="Times New Roman" w:hAnsi="Times New Roman" w:cs="Times New Roman"/>
          <w:lang w:val="en-GB"/>
        </w:rPr>
        <w:t>been labelled the Finnish model</w:t>
      </w:r>
      <w:r w:rsidR="00E45A80" w:rsidRPr="00052B51">
        <w:rPr>
          <w:rFonts w:ascii="Times New Roman" w:hAnsi="Times New Roman" w:cs="Times New Roman"/>
          <w:lang w:val="en-GB"/>
        </w:rPr>
        <w:t xml:space="preserve"> </w:t>
      </w:r>
      <w:r w:rsidR="00700C30" w:rsidRPr="00052B51">
        <w:rPr>
          <w:rFonts w:ascii="Times New Roman" w:hAnsi="Times New Roman" w:cs="Times New Roman"/>
          <w:lang w:val="en-GB"/>
        </w:rPr>
        <w:t>(</w:t>
      </w:r>
      <w:r w:rsidR="00E45A80" w:rsidRPr="00052B51">
        <w:rPr>
          <w:rFonts w:ascii="Times New Roman" w:hAnsi="Times New Roman" w:cs="Times New Roman"/>
          <w:i/>
          <w:iCs/>
          <w:lang w:val="en-GB"/>
        </w:rPr>
        <w:t>Suomen malli</w:t>
      </w:r>
      <w:r w:rsidR="00700C30" w:rsidRPr="00052B51">
        <w:rPr>
          <w:rFonts w:ascii="Times New Roman" w:hAnsi="Times New Roman" w:cs="Times New Roman"/>
          <w:i/>
          <w:iCs/>
          <w:lang w:val="en-GB"/>
        </w:rPr>
        <w:t>)</w:t>
      </w:r>
      <w:r w:rsidR="000131CD" w:rsidRPr="00052B51">
        <w:rPr>
          <w:rFonts w:ascii="Times New Roman" w:hAnsi="Times New Roman" w:cs="Times New Roman"/>
          <w:lang w:val="en-GB"/>
        </w:rPr>
        <w:t>.</w:t>
      </w:r>
    </w:p>
  </w:footnote>
  <w:footnote w:id="10">
    <w:p w14:paraId="294631CA" w14:textId="26177701" w:rsidR="00342183" w:rsidRPr="00E55F21" w:rsidRDefault="00342183">
      <w:pPr>
        <w:pStyle w:val="FootnoteText"/>
        <w:rPr>
          <w:lang w:val="en-GB"/>
        </w:rPr>
      </w:pPr>
      <w:r>
        <w:rPr>
          <w:rStyle w:val="FootnoteReference"/>
        </w:rPr>
        <w:footnoteRef/>
      </w:r>
      <w:r w:rsidRPr="00E55F21">
        <w:rPr>
          <w:lang w:val="en-GB"/>
        </w:rPr>
        <w:t xml:space="preserve"> </w:t>
      </w:r>
      <w:r w:rsidR="00FA4D04" w:rsidRPr="00E55F21">
        <w:rPr>
          <w:rFonts w:ascii="Times New Roman" w:hAnsi="Times New Roman" w:cs="Times New Roman"/>
          <w:lang w:val="en-GB"/>
        </w:rPr>
        <w:t xml:space="preserve">If </w:t>
      </w:r>
      <w:r w:rsidR="00BA5BD1">
        <w:rPr>
          <w:rFonts w:ascii="Times New Roman" w:hAnsi="Times New Roman" w:cs="Times New Roman"/>
          <w:lang w:val="en-GB"/>
        </w:rPr>
        <w:t xml:space="preserve">the </w:t>
      </w:r>
      <w:r w:rsidR="00BA5BD1" w:rsidRPr="00BA5BD1">
        <w:rPr>
          <w:rFonts w:ascii="Times New Roman" w:hAnsi="Times New Roman" w:cs="Times New Roman"/>
          <w:lang w:val="en-GB"/>
        </w:rPr>
        <w:t>Board for the Ratification of Validity of Collective Agreements</w:t>
      </w:r>
      <w:r w:rsidR="00BA5BD1">
        <w:rPr>
          <w:lang w:val="en-GB"/>
        </w:rPr>
        <w:t xml:space="preserve"> </w:t>
      </w:r>
      <w:r w:rsidR="001D5EA6">
        <w:rPr>
          <w:rFonts w:ascii="Times New Roman" w:hAnsi="Times New Roman" w:cs="Times New Roman"/>
          <w:lang w:val="en-GB"/>
        </w:rPr>
        <w:t>considers an agreement</w:t>
      </w:r>
      <w:r w:rsidR="00AC7277" w:rsidRPr="00E55F21">
        <w:rPr>
          <w:rFonts w:ascii="Times New Roman" w:hAnsi="Times New Roman" w:cs="Times New Roman"/>
          <w:lang w:val="en-GB"/>
        </w:rPr>
        <w:t xml:space="preserve"> </w:t>
      </w:r>
      <w:r w:rsidR="00C748F2" w:rsidRPr="00052B51">
        <w:rPr>
          <w:rFonts w:ascii="Times New Roman" w:hAnsi="Times New Roman" w:cs="Times New Roman"/>
          <w:lang w:val="en-GB"/>
        </w:rPr>
        <w:t>“</w:t>
      </w:r>
      <w:r w:rsidR="00E00F61" w:rsidRPr="00E55F21">
        <w:rPr>
          <w:rFonts w:ascii="Times New Roman" w:hAnsi="Times New Roman" w:cs="Times New Roman"/>
          <w:lang w:val="en-GB"/>
        </w:rPr>
        <w:t>representative</w:t>
      </w:r>
      <w:r w:rsidR="00E55F21" w:rsidRPr="00E55F21">
        <w:rPr>
          <w:rFonts w:ascii="Times New Roman" w:hAnsi="Times New Roman" w:cs="Times New Roman"/>
          <w:lang w:val="en-GB"/>
        </w:rPr>
        <w:t>”</w:t>
      </w:r>
      <w:r w:rsidR="007B2639">
        <w:rPr>
          <w:rFonts w:ascii="Times New Roman" w:hAnsi="Times New Roman" w:cs="Times New Roman"/>
          <w:lang w:val="en-GB"/>
        </w:rPr>
        <w:t xml:space="preserve"> for </w:t>
      </w:r>
      <w:r w:rsidR="00CD7C83">
        <w:rPr>
          <w:rFonts w:ascii="Times New Roman" w:hAnsi="Times New Roman" w:cs="Times New Roman"/>
          <w:lang w:val="en-GB"/>
        </w:rPr>
        <w:t>an</w:t>
      </w:r>
      <w:r w:rsidR="007B2639">
        <w:rPr>
          <w:rFonts w:ascii="Times New Roman" w:hAnsi="Times New Roman" w:cs="Times New Roman"/>
          <w:lang w:val="en-GB"/>
        </w:rPr>
        <w:t xml:space="preserve"> industry, </w:t>
      </w:r>
      <w:r w:rsidR="00CD7C83">
        <w:rPr>
          <w:rFonts w:ascii="Times New Roman" w:hAnsi="Times New Roman" w:cs="Times New Roman"/>
          <w:lang w:val="en-GB"/>
        </w:rPr>
        <w:t xml:space="preserve">usually meaning that </w:t>
      </w:r>
      <w:r w:rsidR="00864A88">
        <w:rPr>
          <w:rFonts w:ascii="Times New Roman" w:hAnsi="Times New Roman" w:cs="Times New Roman"/>
          <w:lang w:val="en-GB"/>
        </w:rPr>
        <w:t>it covers at least half the workforce,</w:t>
      </w:r>
      <w:r w:rsidR="001D5EA6">
        <w:rPr>
          <w:rFonts w:ascii="Times New Roman" w:hAnsi="Times New Roman" w:cs="Times New Roman"/>
          <w:lang w:val="en-GB"/>
        </w:rPr>
        <w:t xml:space="preserve"> it </w:t>
      </w:r>
      <w:r w:rsidR="00E8308A">
        <w:rPr>
          <w:rFonts w:ascii="Times New Roman" w:hAnsi="Times New Roman" w:cs="Times New Roman"/>
          <w:lang w:val="en-GB"/>
        </w:rPr>
        <w:t>becomes universally applicable to all firms</w:t>
      </w:r>
      <w:r w:rsidR="00343B3A">
        <w:rPr>
          <w:rFonts w:ascii="Times New Roman" w:hAnsi="Times New Roman" w:cs="Times New Roman"/>
          <w:lang w:val="en-GB"/>
        </w:rPr>
        <w:t xml:space="preserve"> t</w:t>
      </w:r>
      <w:r w:rsidR="008D174A">
        <w:rPr>
          <w:rFonts w:ascii="Times New Roman" w:hAnsi="Times New Roman" w:cs="Times New Roman"/>
          <w:lang w:val="en-GB"/>
        </w:rPr>
        <w:t>her</w:t>
      </w:r>
      <w:r w:rsidR="00343B3A">
        <w:rPr>
          <w:rFonts w:ascii="Times New Roman" w:hAnsi="Times New Roman" w:cs="Times New Roman"/>
          <w:lang w:val="en-GB"/>
        </w:rPr>
        <w:t>e.</w:t>
      </w:r>
      <w:r w:rsidR="00864A88">
        <w:rPr>
          <w:rFonts w:ascii="Times New Roman" w:hAnsi="Times New Roman" w:cs="Times New Roman"/>
          <w:lang w:val="en-GB"/>
        </w:rPr>
        <w:t xml:space="preserve"> </w:t>
      </w:r>
      <w:r w:rsidR="00E00F61" w:rsidRPr="00E55F21">
        <w:rPr>
          <w:rFonts w:ascii="Times New Roman" w:hAnsi="Times New Roman" w:cs="Times New Roman"/>
          <w:lang w:val="en-GB"/>
        </w:rPr>
        <w:t xml:space="preserve"> </w:t>
      </w:r>
      <w:r w:rsidR="00FA4D04" w:rsidRPr="00E55F21">
        <w:rPr>
          <w:lang w:val="en-GB"/>
        </w:rPr>
        <w:t xml:space="preserve"> </w:t>
      </w:r>
    </w:p>
  </w:footnote>
  <w:footnote w:id="11">
    <w:p w14:paraId="346B3054" w14:textId="2C59C987" w:rsidR="00BE02B8" w:rsidRPr="00DC238D" w:rsidRDefault="00BE02B8">
      <w:pPr>
        <w:pStyle w:val="FootnoteText"/>
        <w:rPr>
          <w:rFonts w:ascii="Times New Roman" w:hAnsi="Times New Roman" w:cs="Times New Roman"/>
          <w:lang w:val="en-GB"/>
        </w:rPr>
      </w:pPr>
      <w:r w:rsidRPr="00DC238D">
        <w:rPr>
          <w:rStyle w:val="FootnoteReference"/>
          <w:rFonts w:ascii="Times New Roman" w:hAnsi="Times New Roman" w:cs="Times New Roman"/>
        </w:rPr>
        <w:footnoteRef/>
      </w:r>
      <w:r w:rsidRPr="00DC238D">
        <w:rPr>
          <w:rFonts w:ascii="Times New Roman" w:hAnsi="Times New Roman" w:cs="Times New Roman"/>
          <w:lang w:val="en-GB"/>
        </w:rPr>
        <w:t xml:space="preserve"> </w:t>
      </w:r>
      <w:r w:rsidR="00E217E4" w:rsidRPr="00DC238D">
        <w:rPr>
          <w:rFonts w:ascii="Times New Roman" w:hAnsi="Times New Roman" w:cs="Times New Roman"/>
          <w:lang w:val="en-GB"/>
        </w:rPr>
        <w:t xml:space="preserve">The reference is to the English version. </w:t>
      </w:r>
      <w:r w:rsidRPr="00DC238D">
        <w:rPr>
          <w:rFonts w:ascii="Times New Roman" w:hAnsi="Times New Roman" w:cs="Times New Roman"/>
          <w:lang w:val="en-GB"/>
        </w:rPr>
        <w:t xml:space="preserve">The </w:t>
      </w:r>
      <w:r w:rsidR="000E6BD9" w:rsidRPr="00DC238D">
        <w:rPr>
          <w:rFonts w:ascii="Times New Roman" w:hAnsi="Times New Roman" w:cs="Times New Roman"/>
          <w:lang w:val="en-GB"/>
        </w:rPr>
        <w:t xml:space="preserve">Swedish </w:t>
      </w:r>
      <w:r w:rsidRPr="00DC238D">
        <w:rPr>
          <w:rFonts w:ascii="Times New Roman" w:hAnsi="Times New Roman" w:cs="Times New Roman"/>
          <w:lang w:val="en-GB"/>
        </w:rPr>
        <w:t>version was published in 1970.</w:t>
      </w:r>
      <w:r w:rsidR="00633E4B" w:rsidRPr="00DC238D">
        <w:rPr>
          <w:rFonts w:ascii="Times New Roman" w:hAnsi="Times New Roman" w:cs="Times New Roman"/>
          <w:lang w:val="en-GB"/>
        </w:rPr>
        <w:t xml:space="preserve"> I</w:t>
      </w:r>
      <w:r w:rsidR="000706D7" w:rsidRPr="00DC238D">
        <w:rPr>
          <w:rFonts w:ascii="Times New Roman" w:hAnsi="Times New Roman" w:cs="Times New Roman"/>
          <w:lang w:val="en-GB"/>
        </w:rPr>
        <w:t xml:space="preserve">t is usually referred to as the EFO model </w:t>
      </w:r>
      <w:r w:rsidR="0059183B" w:rsidRPr="00DC238D">
        <w:rPr>
          <w:rFonts w:ascii="Times New Roman" w:hAnsi="Times New Roman" w:cs="Times New Roman"/>
          <w:lang w:val="en-GB"/>
        </w:rPr>
        <w:t>after the initial letters of the authors’ surnames.</w:t>
      </w:r>
    </w:p>
  </w:footnote>
  <w:footnote w:id="12">
    <w:p w14:paraId="5292BD28" w14:textId="79F00BE9" w:rsidR="00C84BFC" w:rsidRPr="002E2396" w:rsidRDefault="00C84BFC">
      <w:pPr>
        <w:pStyle w:val="FootnoteText"/>
        <w:rPr>
          <w:rFonts w:ascii="Times New Roman" w:hAnsi="Times New Roman" w:cs="Times New Roman"/>
          <w:lang w:val="en-GB"/>
        </w:rPr>
      </w:pPr>
      <w:r>
        <w:rPr>
          <w:rStyle w:val="FootnoteReference"/>
        </w:rPr>
        <w:footnoteRef/>
      </w:r>
      <w:r w:rsidRPr="00E544C1">
        <w:rPr>
          <w:lang w:val="en-GB"/>
        </w:rPr>
        <w:t xml:space="preserve"> </w:t>
      </w:r>
      <w:r w:rsidRPr="002E2396">
        <w:rPr>
          <w:rFonts w:ascii="Times New Roman" w:hAnsi="Times New Roman" w:cs="Times New Roman"/>
          <w:lang w:val="en-GB"/>
        </w:rPr>
        <w:t xml:space="preserve">Odd Aukrust was </w:t>
      </w:r>
      <w:r w:rsidR="00F25506" w:rsidRPr="002E2396">
        <w:rPr>
          <w:rFonts w:ascii="Times New Roman" w:hAnsi="Times New Roman" w:cs="Times New Roman"/>
          <w:lang w:val="en-GB"/>
        </w:rPr>
        <w:t xml:space="preserve">director of research at Statistics Norway </w:t>
      </w:r>
      <w:r w:rsidR="008270AA" w:rsidRPr="002E2396">
        <w:rPr>
          <w:rFonts w:ascii="Times New Roman" w:hAnsi="Times New Roman" w:cs="Times New Roman"/>
          <w:lang w:val="en-GB"/>
        </w:rPr>
        <w:t>1953–</w:t>
      </w:r>
      <w:r w:rsidR="002C7699" w:rsidRPr="002E2396">
        <w:rPr>
          <w:rFonts w:ascii="Times New Roman" w:hAnsi="Times New Roman" w:cs="Times New Roman"/>
          <w:lang w:val="en-GB"/>
        </w:rPr>
        <w:t>84 and chair of</w:t>
      </w:r>
      <w:r w:rsidR="000949ED" w:rsidRPr="002E2396">
        <w:rPr>
          <w:rFonts w:ascii="Times New Roman" w:hAnsi="Times New Roman" w:cs="Times New Roman"/>
          <w:lang w:val="en-GB"/>
        </w:rPr>
        <w:t xml:space="preserve"> the government commission </w:t>
      </w:r>
      <w:r w:rsidR="002F3093" w:rsidRPr="002E2396">
        <w:rPr>
          <w:rFonts w:ascii="Times New Roman" w:hAnsi="Times New Roman" w:cs="Times New Roman"/>
          <w:lang w:val="en-GB"/>
        </w:rPr>
        <w:t>for the incomes policy settlements in 1966</w:t>
      </w:r>
      <w:r w:rsidR="00B3476B">
        <w:rPr>
          <w:rFonts w:ascii="Times New Roman" w:hAnsi="Times New Roman" w:cs="Times New Roman"/>
          <w:lang w:val="en-GB"/>
        </w:rPr>
        <w:t xml:space="preserve"> and 1967</w:t>
      </w:r>
      <w:r w:rsidR="002F3093" w:rsidRPr="002E2396">
        <w:rPr>
          <w:rFonts w:ascii="Times New Roman" w:hAnsi="Times New Roman" w:cs="Times New Roman"/>
          <w:lang w:val="en-GB"/>
        </w:rPr>
        <w:t>.</w:t>
      </w:r>
    </w:p>
  </w:footnote>
  <w:footnote w:id="13">
    <w:p w14:paraId="7637D03B" w14:textId="437BF92B" w:rsidR="00FB6AA9" w:rsidRPr="00B45A43" w:rsidRDefault="00FB6AA9">
      <w:pPr>
        <w:pStyle w:val="FootnoteText"/>
        <w:rPr>
          <w:lang w:val="en-GB"/>
        </w:rPr>
      </w:pPr>
      <w:r>
        <w:rPr>
          <w:rStyle w:val="FootnoteReference"/>
        </w:rPr>
        <w:footnoteRef/>
      </w:r>
      <w:r w:rsidRPr="00FD7CC3">
        <w:rPr>
          <w:lang w:val="en-GB"/>
        </w:rPr>
        <w:t xml:space="preserve"> </w:t>
      </w:r>
      <w:r w:rsidR="00AF4918" w:rsidRPr="00FD7CC3">
        <w:rPr>
          <w:rFonts w:ascii="Times New Roman" w:hAnsi="Times New Roman" w:cs="Times New Roman"/>
          <w:lang w:val="en-GB"/>
        </w:rPr>
        <w:t xml:space="preserve">Early studies for Norway include </w:t>
      </w:r>
      <w:r w:rsidR="00FD7CC3" w:rsidRPr="00FD7CC3">
        <w:rPr>
          <w:rFonts w:ascii="Times New Roman" w:hAnsi="Times New Roman" w:cs="Times New Roman"/>
          <w:lang w:val="en-GB"/>
        </w:rPr>
        <w:t>N</w:t>
      </w:r>
      <w:r w:rsidR="00FD7CC3">
        <w:rPr>
          <w:rFonts w:ascii="Times New Roman" w:hAnsi="Times New Roman" w:cs="Times New Roman"/>
          <w:lang w:val="en-GB"/>
        </w:rPr>
        <w:t>ymoen (1989</w:t>
      </w:r>
      <w:r w:rsidR="00AD20F0">
        <w:rPr>
          <w:rFonts w:ascii="Times New Roman" w:hAnsi="Times New Roman" w:cs="Times New Roman"/>
          <w:lang w:val="en-GB"/>
        </w:rPr>
        <w:t>, 1991)</w:t>
      </w:r>
      <w:r w:rsidR="0049167A">
        <w:rPr>
          <w:rFonts w:ascii="Times New Roman" w:hAnsi="Times New Roman" w:cs="Times New Roman"/>
          <w:lang w:val="en-GB"/>
        </w:rPr>
        <w:t>, Lang</w:t>
      </w:r>
      <w:r w:rsidR="0049167A" w:rsidRPr="00551E85">
        <w:rPr>
          <w:rFonts w:ascii="Times New Roman" w:hAnsi="Times New Roman" w:cs="Times New Roman"/>
          <w:lang w:val="en-GB"/>
        </w:rPr>
        <w:t>ø</w:t>
      </w:r>
      <w:r w:rsidR="00551E85" w:rsidRPr="00551E85">
        <w:rPr>
          <w:rFonts w:ascii="Times New Roman" w:hAnsi="Times New Roman" w:cs="Times New Roman"/>
          <w:lang w:val="en-GB"/>
        </w:rPr>
        <w:t xml:space="preserve">rgen </w:t>
      </w:r>
      <w:r w:rsidR="00551E85">
        <w:rPr>
          <w:rFonts w:ascii="Times New Roman" w:hAnsi="Times New Roman" w:cs="Times New Roman"/>
          <w:lang w:val="en-GB"/>
        </w:rPr>
        <w:t>(1993) and Johansen (1995)</w:t>
      </w:r>
      <w:r w:rsidR="00C76D1D">
        <w:rPr>
          <w:rFonts w:ascii="Times New Roman" w:hAnsi="Times New Roman" w:cs="Times New Roman"/>
          <w:lang w:val="en-GB"/>
        </w:rPr>
        <w:t xml:space="preserve">. </w:t>
      </w:r>
      <w:r w:rsidR="00C76D1D" w:rsidRPr="00D87E9D">
        <w:rPr>
          <w:rFonts w:ascii="Times New Roman" w:hAnsi="Times New Roman" w:cs="Times New Roman"/>
          <w:lang w:val="en-GB"/>
        </w:rPr>
        <w:t>Calmfors</w:t>
      </w:r>
      <w:r w:rsidR="00F30789" w:rsidRPr="00D87E9D">
        <w:rPr>
          <w:rFonts w:ascii="Times New Roman" w:hAnsi="Times New Roman" w:cs="Times New Roman"/>
          <w:lang w:val="en-GB"/>
        </w:rPr>
        <w:t xml:space="preserve"> &amp; Nymoen </w:t>
      </w:r>
      <w:r w:rsidR="00F4750C" w:rsidRPr="00D87E9D">
        <w:rPr>
          <w:rFonts w:ascii="Times New Roman" w:hAnsi="Times New Roman" w:cs="Times New Roman"/>
          <w:lang w:val="en-GB"/>
        </w:rPr>
        <w:t>(1990)</w:t>
      </w:r>
      <w:r w:rsidR="006818D8" w:rsidRPr="00D87E9D">
        <w:rPr>
          <w:rFonts w:ascii="Times New Roman" w:hAnsi="Times New Roman" w:cs="Times New Roman"/>
          <w:lang w:val="en-GB"/>
        </w:rPr>
        <w:t>, B</w:t>
      </w:r>
      <w:r w:rsidR="00766F0C" w:rsidRPr="00D87E9D">
        <w:rPr>
          <w:rFonts w:ascii="Times New Roman" w:hAnsi="Times New Roman" w:cs="Times New Roman"/>
          <w:lang w:val="en-GB"/>
        </w:rPr>
        <w:t xml:space="preserve">årdsen et al. (2005) </w:t>
      </w:r>
      <w:r w:rsidR="00747255" w:rsidRPr="00D87E9D">
        <w:rPr>
          <w:rFonts w:ascii="Times New Roman" w:hAnsi="Times New Roman" w:cs="Times New Roman"/>
          <w:lang w:val="en-GB"/>
        </w:rPr>
        <w:t xml:space="preserve">and Forslund et al. </w:t>
      </w:r>
      <w:r w:rsidR="00747255" w:rsidRPr="00B45A43">
        <w:rPr>
          <w:rFonts w:ascii="Times New Roman" w:hAnsi="Times New Roman" w:cs="Times New Roman"/>
          <w:lang w:val="en-GB"/>
        </w:rPr>
        <w:t>(2</w:t>
      </w:r>
      <w:r w:rsidR="00D50B41" w:rsidRPr="00B45A43">
        <w:rPr>
          <w:rFonts w:ascii="Times New Roman" w:hAnsi="Times New Roman" w:cs="Times New Roman"/>
          <w:lang w:val="en-GB"/>
        </w:rPr>
        <w:t>008) are</w:t>
      </w:r>
      <w:r w:rsidR="00EB3ADE">
        <w:rPr>
          <w:rFonts w:ascii="Times New Roman" w:hAnsi="Times New Roman" w:cs="Times New Roman"/>
          <w:lang w:val="en-GB"/>
        </w:rPr>
        <w:t xml:space="preserve"> early</w:t>
      </w:r>
      <w:r w:rsidR="00D50B41" w:rsidRPr="00B45A43">
        <w:rPr>
          <w:rFonts w:ascii="Times New Roman" w:hAnsi="Times New Roman" w:cs="Times New Roman"/>
          <w:lang w:val="en-GB"/>
        </w:rPr>
        <w:t xml:space="preserve"> examples of studies of all the Nordic coun</w:t>
      </w:r>
      <w:r w:rsidR="00B45A43" w:rsidRPr="00B45A43">
        <w:rPr>
          <w:rFonts w:ascii="Times New Roman" w:hAnsi="Times New Roman" w:cs="Times New Roman"/>
          <w:lang w:val="en-GB"/>
        </w:rPr>
        <w:t>t</w:t>
      </w:r>
      <w:r w:rsidR="00D50B41" w:rsidRPr="00B45A43">
        <w:rPr>
          <w:rFonts w:ascii="Times New Roman" w:hAnsi="Times New Roman" w:cs="Times New Roman"/>
          <w:lang w:val="en-GB"/>
        </w:rPr>
        <w:t>ries.</w:t>
      </w:r>
    </w:p>
  </w:footnote>
  <w:footnote w:id="14">
    <w:p w14:paraId="409C9819" w14:textId="193363A4" w:rsidR="008163A0" w:rsidRPr="00CE7635" w:rsidRDefault="008163A0">
      <w:pPr>
        <w:pStyle w:val="FootnoteText"/>
        <w:rPr>
          <w:rFonts w:ascii="Times New Roman" w:hAnsi="Times New Roman" w:cs="Times New Roman"/>
          <w:lang w:val="en-GB"/>
        </w:rPr>
      </w:pPr>
      <w:r>
        <w:rPr>
          <w:rStyle w:val="FootnoteReference"/>
        </w:rPr>
        <w:footnoteRef/>
      </w:r>
      <w:r w:rsidRPr="008163A0">
        <w:rPr>
          <w:lang w:val="en-GB"/>
        </w:rPr>
        <w:t xml:space="preserve"> </w:t>
      </w:r>
      <w:r w:rsidRPr="00CE7635">
        <w:rPr>
          <w:rFonts w:ascii="Times New Roman" w:hAnsi="Times New Roman" w:cs="Times New Roman"/>
          <w:lang w:val="en-GB"/>
        </w:rPr>
        <w:t>Indeed, with a Cobb-Douglas production function</w:t>
      </w:r>
      <w:r w:rsidR="008379F3" w:rsidRPr="00CE7635">
        <w:rPr>
          <w:rFonts w:ascii="Times New Roman" w:hAnsi="Times New Roman" w:cs="Times New Roman"/>
          <w:lang w:val="en-GB"/>
        </w:rPr>
        <w:t xml:space="preserve">, which implies a constant </w:t>
      </w:r>
      <w:r w:rsidR="000663D4">
        <w:rPr>
          <w:rFonts w:ascii="Times New Roman" w:hAnsi="Times New Roman" w:cs="Times New Roman"/>
          <w:lang w:val="en-GB"/>
        </w:rPr>
        <w:t>wage</w:t>
      </w:r>
      <w:r w:rsidR="008379F3" w:rsidRPr="00CE7635">
        <w:rPr>
          <w:rFonts w:ascii="Times New Roman" w:hAnsi="Times New Roman" w:cs="Times New Roman"/>
          <w:lang w:val="en-GB"/>
        </w:rPr>
        <w:t xml:space="preserve"> share, any wage </w:t>
      </w:r>
      <w:r w:rsidR="00C3659C" w:rsidRPr="00CE7635">
        <w:rPr>
          <w:rFonts w:ascii="Times New Roman" w:hAnsi="Times New Roman" w:cs="Times New Roman"/>
          <w:lang w:val="en-GB"/>
        </w:rPr>
        <w:t>change</w:t>
      </w:r>
      <w:r w:rsidR="006F1D8D" w:rsidRPr="00CE7635">
        <w:rPr>
          <w:rFonts w:ascii="Times New Roman" w:hAnsi="Times New Roman" w:cs="Times New Roman"/>
          <w:lang w:val="en-GB"/>
        </w:rPr>
        <w:t xml:space="preserve"> will equal the sum of </w:t>
      </w:r>
      <w:r w:rsidR="00C3659C" w:rsidRPr="00CE7635">
        <w:rPr>
          <w:rFonts w:ascii="Times New Roman" w:hAnsi="Times New Roman" w:cs="Times New Roman"/>
          <w:lang w:val="en-GB"/>
        </w:rPr>
        <w:t>price and productivity changes.</w:t>
      </w:r>
    </w:p>
  </w:footnote>
  <w:footnote w:id="15">
    <w:p w14:paraId="6EF8EEEF" w14:textId="5D06A7F1" w:rsidR="009C6946" w:rsidRPr="002E32E4" w:rsidRDefault="009C6946">
      <w:pPr>
        <w:pStyle w:val="FootnoteText"/>
        <w:rPr>
          <w:rFonts w:ascii="Times New Roman" w:hAnsi="Times New Roman" w:cs="Times New Roman"/>
          <w:lang w:val="en-GB"/>
        </w:rPr>
      </w:pPr>
      <w:r>
        <w:rPr>
          <w:rStyle w:val="FootnoteReference"/>
        </w:rPr>
        <w:footnoteRef/>
      </w:r>
      <w:r w:rsidRPr="009C6946">
        <w:rPr>
          <w:lang w:val="en-GB"/>
        </w:rPr>
        <w:t xml:space="preserve"> </w:t>
      </w:r>
      <w:r w:rsidRPr="002E32E4">
        <w:rPr>
          <w:rFonts w:ascii="Times New Roman" w:hAnsi="Times New Roman" w:cs="Times New Roman"/>
          <w:lang w:val="en-GB"/>
        </w:rPr>
        <w:t xml:space="preserve">A similar criticism could be directed against the Nymoen-Kolsrud </w:t>
      </w:r>
      <w:r w:rsidR="00ED197C" w:rsidRPr="002E32E4">
        <w:rPr>
          <w:rFonts w:ascii="Times New Roman" w:hAnsi="Times New Roman" w:cs="Times New Roman"/>
          <w:lang w:val="en-GB"/>
        </w:rPr>
        <w:t>(2023) analysis, as it</w:t>
      </w:r>
      <w:r w:rsidR="0005458B">
        <w:rPr>
          <w:rFonts w:ascii="Times New Roman" w:hAnsi="Times New Roman" w:cs="Times New Roman"/>
          <w:lang w:val="en-GB"/>
        </w:rPr>
        <w:t xml:space="preserve"> </w:t>
      </w:r>
      <w:r w:rsidR="00ED197C" w:rsidRPr="002E32E4">
        <w:rPr>
          <w:rFonts w:ascii="Times New Roman" w:hAnsi="Times New Roman" w:cs="Times New Roman"/>
          <w:lang w:val="en-GB"/>
        </w:rPr>
        <w:t>assumes a random walk</w:t>
      </w:r>
      <w:r w:rsidR="000C5AB0">
        <w:rPr>
          <w:rFonts w:ascii="Times New Roman" w:hAnsi="Times New Roman" w:cs="Times New Roman"/>
          <w:lang w:val="en-GB"/>
        </w:rPr>
        <w:t xml:space="preserve"> for the exchange rate</w:t>
      </w:r>
      <w:r w:rsidR="00ED197C" w:rsidRPr="002E32E4">
        <w:rPr>
          <w:rFonts w:ascii="Times New Roman" w:hAnsi="Times New Roman" w:cs="Times New Roman"/>
          <w:lang w:val="en-GB"/>
        </w:rPr>
        <w:t>.</w:t>
      </w:r>
    </w:p>
  </w:footnote>
  <w:footnote w:id="16">
    <w:p w14:paraId="03069A44" w14:textId="5D3E4470" w:rsidR="00BC131E" w:rsidRPr="00BC131E" w:rsidRDefault="00BC131E">
      <w:pPr>
        <w:pStyle w:val="FootnoteText"/>
        <w:rPr>
          <w:rFonts w:ascii="Times New Roman" w:hAnsi="Times New Roman" w:cs="Times New Roman"/>
          <w:lang w:val="en-GB"/>
        </w:rPr>
      </w:pPr>
      <w:r w:rsidRPr="00BC131E">
        <w:rPr>
          <w:rStyle w:val="FootnoteReference"/>
          <w:rFonts w:ascii="Times New Roman" w:hAnsi="Times New Roman" w:cs="Times New Roman"/>
        </w:rPr>
        <w:footnoteRef/>
      </w:r>
      <w:r w:rsidRPr="00BC131E">
        <w:rPr>
          <w:rFonts w:ascii="Times New Roman" w:hAnsi="Times New Roman" w:cs="Times New Roman"/>
          <w:lang w:val="en-GB"/>
        </w:rPr>
        <w:t xml:space="preserve"> </w:t>
      </w:r>
      <w:r w:rsidR="00105995">
        <w:rPr>
          <w:rFonts w:ascii="Times New Roman" w:hAnsi="Times New Roman" w:cs="Times New Roman"/>
          <w:lang w:val="en-GB"/>
        </w:rPr>
        <w:t>E</w:t>
      </w:r>
      <w:r w:rsidRPr="00BC131E">
        <w:rPr>
          <w:rFonts w:ascii="Times New Roman" w:hAnsi="Times New Roman" w:cs="Times New Roman"/>
          <w:lang w:val="en-GB"/>
        </w:rPr>
        <w:t>.g. Holden IV-utvalget (2023), Section 3.3.</w:t>
      </w:r>
      <w:r w:rsidR="00105995">
        <w:rPr>
          <w:rFonts w:ascii="Times New Roman" w:hAnsi="Times New Roman" w:cs="Times New Roman"/>
          <w:lang w:val="en-GB"/>
        </w:rPr>
        <w:t xml:space="preserve"> See als</w:t>
      </w:r>
      <w:r w:rsidR="00B85698">
        <w:rPr>
          <w:rFonts w:ascii="Times New Roman" w:hAnsi="Times New Roman" w:cs="Times New Roman"/>
          <w:lang w:val="en-GB"/>
        </w:rPr>
        <w:t xml:space="preserve">o </w:t>
      </w:r>
      <w:r w:rsidR="00C46CCE">
        <w:rPr>
          <w:rFonts w:ascii="Times New Roman" w:hAnsi="Times New Roman" w:cs="Times New Roman"/>
          <w:lang w:val="en-GB"/>
        </w:rPr>
        <w:t>Calmfors et al.</w:t>
      </w:r>
      <w:r w:rsidR="00B85698">
        <w:rPr>
          <w:rFonts w:ascii="Times New Roman" w:hAnsi="Times New Roman" w:cs="Times New Roman"/>
          <w:lang w:val="en-GB"/>
        </w:rPr>
        <w:t xml:space="preserve"> (201</w:t>
      </w:r>
      <w:r w:rsidR="00C46CCE">
        <w:rPr>
          <w:rFonts w:ascii="Times New Roman" w:hAnsi="Times New Roman" w:cs="Times New Roman"/>
          <w:lang w:val="en-GB"/>
        </w:rPr>
        <w:t>9</w:t>
      </w:r>
      <w:r w:rsidR="00B85698">
        <w:rPr>
          <w:rFonts w:ascii="Times New Roman" w:hAnsi="Times New Roman" w:cs="Times New Roman"/>
          <w:lang w:val="en-GB"/>
        </w:rPr>
        <w:t>).</w:t>
      </w:r>
    </w:p>
  </w:footnote>
  <w:footnote w:id="17">
    <w:p w14:paraId="66C382A2" w14:textId="41FB2965" w:rsidR="00DA42A5" w:rsidRPr="002051C3" w:rsidRDefault="00DA42A5">
      <w:pPr>
        <w:pStyle w:val="FootnoteText"/>
        <w:rPr>
          <w:rFonts w:ascii="Times New Roman" w:hAnsi="Times New Roman" w:cs="Times New Roman"/>
          <w:i/>
          <w:lang w:val="en-GB"/>
        </w:rPr>
      </w:pPr>
      <w:r w:rsidRPr="00ED3DBB">
        <w:rPr>
          <w:rStyle w:val="FootnoteReference"/>
          <w:rFonts w:ascii="Times New Roman" w:hAnsi="Times New Roman" w:cs="Times New Roman"/>
        </w:rPr>
        <w:footnoteRef/>
      </w:r>
      <w:r w:rsidRPr="00ED3DBB">
        <w:rPr>
          <w:rFonts w:ascii="Times New Roman" w:hAnsi="Times New Roman" w:cs="Times New Roman"/>
          <w:lang w:val="en-GB"/>
        </w:rPr>
        <w:t xml:space="preserve"> </w:t>
      </w:r>
      <w:r w:rsidR="001E494D" w:rsidRPr="00ED3DBB">
        <w:rPr>
          <w:rFonts w:ascii="Times New Roman" w:hAnsi="Times New Roman" w:cs="Times New Roman"/>
          <w:lang w:val="en-GB"/>
        </w:rPr>
        <w:t xml:space="preserve">Let </w:t>
      </w:r>
      <m:oMath>
        <m:r>
          <w:rPr>
            <w:rFonts w:ascii="Cambria Math" w:hAnsi="Cambria Math" w:cs="Times New Roman"/>
            <w:lang w:val="en-GB"/>
          </w:rPr>
          <m:t>R</m:t>
        </m:r>
      </m:oMath>
      <w:r w:rsidR="004325D8" w:rsidRPr="00ED3DBB">
        <w:rPr>
          <w:rFonts w:ascii="Times New Roman" w:eastAsiaTheme="minorEastAsia" w:hAnsi="Times New Roman" w:cs="Times New Roman"/>
          <w:lang w:val="en-GB"/>
        </w:rPr>
        <w:t xml:space="preserve"> be the</w:t>
      </w:r>
      <w:r w:rsidR="0076008A">
        <w:rPr>
          <w:rFonts w:ascii="Times New Roman" w:eastAsiaTheme="minorEastAsia" w:hAnsi="Times New Roman" w:cs="Times New Roman"/>
          <w:lang w:val="en-GB"/>
        </w:rPr>
        <w:t xml:space="preserve"> (net)</w:t>
      </w:r>
      <w:r w:rsidR="004325D8" w:rsidRPr="00ED3DBB">
        <w:rPr>
          <w:rFonts w:ascii="Times New Roman" w:eastAsiaTheme="minorEastAsia" w:hAnsi="Times New Roman" w:cs="Times New Roman"/>
          <w:lang w:val="en-GB"/>
        </w:rPr>
        <w:t xml:space="preserve"> rate of return </w:t>
      </w:r>
      <w:r w:rsidR="0076008A">
        <w:rPr>
          <w:rFonts w:ascii="Times New Roman" w:eastAsiaTheme="minorEastAsia" w:hAnsi="Times New Roman" w:cs="Times New Roman"/>
          <w:lang w:val="en-GB"/>
        </w:rPr>
        <w:t>to</w:t>
      </w:r>
      <w:r w:rsidR="004325D8" w:rsidRPr="00ED3DBB">
        <w:rPr>
          <w:rFonts w:ascii="Times New Roman" w:eastAsiaTheme="minorEastAsia" w:hAnsi="Times New Roman" w:cs="Times New Roman"/>
          <w:lang w:val="en-GB"/>
        </w:rPr>
        <w:t xml:space="preserve"> capital,</w:t>
      </w:r>
      <w:r w:rsidR="00E774D4" w:rsidRPr="00ED3DBB">
        <w:rPr>
          <w:rFonts w:ascii="Times New Roman" w:eastAsiaTheme="minorEastAsia" w:hAnsi="Times New Roman" w:cs="Times New Roman"/>
          <w:i/>
          <w:iCs/>
          <w:lang w:val="en-GB"/>
        </w:rPr>
        <w:t xml:space="preserve"> </w:t>
      </w:r>
      <m:oMath>
        <m:r>
          <w:rPr>
            <w:rFonts w:ascii="Cambria Math" w:eastAsiaTheme="minorEastAsia" w:hAnsi="Cambria Math" w:cs="Times New Roman"/>
            <w:lang w:val="en-GB"/>
          </w:rPr>
          <m:t>π</m:t>
        </m:r>
      </m:oMath>
      <w:r w:rsidR="00555B32" w:rsidRPr="00ED3DBB">
        <w:rPr>
          <w:rFonts w:ascii="Times New Roman" w:eastAsiaTheme="minorEastAsia" w:hAnsi="Times New Roman" w:cs="Times New Roman"/>
          <w:i/>
          <w:iCs/>
          <w:lang w:val="en-GB"/>
        </w:rPr>
        <w:t xml:space="preserve"> </w:t>
      </w:r>
      <w:r w:rsidR="00555B32" w:rsidRPr="00ED3DBB">
        <w:rPr>
          <w:rFonts w:ascii="Times New Roman" w:eastAsiaTheme="minorEastAsia" w:hAnsi="Times New Roman" w:cs="Times New Roman"/>
          <w:lang w:val="en-GB"/>
        </w:rPr>
        <w:t xml:space="preserve">gross profits, </w:t>
      </w:r>
      <w:r w:rsidR="00F539CC" w:rsidRPr="00ED3DBB">
        <w:rPr>
          <w:rFonts w:ascii="Times New Roman" w:eastAsiaTheme="minorEastAsia" w:hAnsi="Times New Roman" w:cs="Times New Roman"/>
          <w:i/>
          <w:iCs/>
          <w:lang w:val="en-GB"/>
        </w:rPr>
        <w:t xml:space="preserve">K </w:t>
      </w:r>
      <w:r w:rsidR="00F539CC" w:rsidRPr="00ED3DBB">
        <w:rPr>
          <w:rFonts w:ascii="Times New Roman" w:eastAsiaTheme="minorEastAsia" w:hAnsi="Times New Roman" w:cs="Times New Roman"/>
          <w:lang w:val="en-GB"/>
        </w:rPr>
        <w:t>the capital stock</w:t>
      </w:r>
      <w:r w:rsidR="003C6195" w:rsidRPr="00ED3DBB">
        <w:rPr>
          <w:rFonts w:ascii="Times New Roman" w:eastAsiaTheme="minorEastAsia" w:hAnsi="Times New Roman" w:cs="Times New Roman"/>
          <w:lang w:val="en-GB"/>
        </w:rPr>
        <w:t xml:space="preserve">, </w:t>
      </w:r>
      <w:r w:rsidR="00555B32" w:rsidRPr="00ED3DBB">
        <w:rPr>
          <w:rFonts w:ascii="Times New Roman" w:eastAsiaTheme="minorEastAsia" w:hAnsi="Times New Roman" w:cs="Times New Roman"/>
          <w:i/>
          <w:iCs/>
          <w:lang w:val="en-GB"/>
        </w:rPr>
        <w:t>D</w:t>
      </w:r>
      <w:r w:rsidR="00F539CC" w:rsidRPr="00ED3DBB">
        <w:rPr>
          <w:rFonts w:ascii="Times New Roman" w:eastAsiaTheme="minorEastAsia" w:hAnsi="Times New Roman" w:cs="Times New Roman"/>
          <w:lang w:val="en-GB"/>
        </w:rPr>
        <w:t xml:space="preserve"> depreciation</w:t>
      </w:r>
      <w:r w:rsidR="003C6195" w:rsidRPr="00ED3DBB">
        <w:rPr>
          <w:rFonts w:ascii="Times New Roman" w:eastAsiaTheme="minorEastAsia" w:hAnsi="Times New Roman" w:cs="Times New Roman"/>
          <w:lang w:val="en-GB"/>
        </w:rPr>
        <w:t xml:space="preserve"> and </w:t>
      </w:r>
      <w:r w:rsidR="003C6195" w:rsidRPr="00ED3DBB">
        <w:rPr>
          <w:rFonts w:ascii="Times New Roman" w:eastAsiaTheme="minorEastAsia" w:hAnsi="Times New Roman" w:cs="Times New Roman"/>
          <w:i/>
          <w:iCs/>
          <w:lang w:val="en-GB"/>
        </w:rPr>
        <w:t xml:space="preserve">Y </w:t>
      </w:r>
      <w:r w:rsidR="00F56A98" w:rsidRPr="00ED3DBB">
        <w:rPr>
          <w:rFonts w:ascii="Times New Roman" w:eastAsiaTheme="minorEastAsia" w:hAnsi="Times New Roman" w:cs="Times New Roman"/>
          <w:lang w:val="en-GB"/>
        </w:rPr>
        <w:t xml:space="preserve">output, all measured in real terms. Then </w:t>
      </w:r>
      <m:oMath>
        <m:r>
          <w:rPr>
            <w:rFonts w:ascii="Cambria Math" w:eastAsiaTheme="minorEastAsia" w:hAnsi="Cambria Math" w:cs="Times New Roman"/>
            <w:lang w:val="en-GB"/>
          </w:rPr>
          <m:t>R=(π</m:t>
        </m:r>
        <m:r>
          <m:rPr>
            <m:sty m:val="p"/>
          </m:rPr>
          <w:rPr>
            <w:rFonts w:ascii="Cambria Math" w:eastAsiaTheme="minorEastAsia" w:hAnsi="Cambria Math" w:cs="Times New Roman"/>
            <w:lang w:val="en-GB"/>
          </w:rPr>
          <m:t>-</m:t>
        </m:r>
        <m:r>
          <w:rPr>
            <w:rFonts w:ascii="Cambria Math" w:eastAsiaTheme="minorEastAsia" w:hAnsi="Cambria Math" w:cs="Times New Roman"/>
            <w:lang w:val="en-GB"/>
          </w:rPr>
          <m:t>D</m:t>
        </m:r>
        <m:r>
          <m:rPr>
            <m:sty m:val="p"/>
          </m:rPr>
          <w:rPr>
            <w:rFonts w:ascii="Cambria Math" w:eastAsiaTheme="minorEastAsia" w:hAnsi="Cambria Math" w:cs="Times New Roman"/>
            <w:lang w:val="en-GB"/>
          </w:rPr>
          <m:t>)/</m:t>
        </m:r>
        <m:r>
          <w:rPr>
            <w:rFonts w:ascii="Cambria Math" w:eastAsiaTheme="minorEastAsia" w:hAnsi="Cambria Math" w:cs="Times New Roman"/>
            <w:lang w:val="en-GB"/>
          </w:rPr>
          <m:t>K=(π/Y)×(</m:t>
        </m:r>
        <m:r>
          <w:rPr>
            <w:rFonts w:ascii="Cambria Math" w:eastAsiaTheme="minorEastAsia" w:hAnsi="Cambria Math" w:cs="Times New Roman"/>
          </w:rPr>
          <m:t>Y</m:t>
        </m:r>
        <m:r>
          <w:rPr>
            <w:rFonts w:ascii="Cambria Math" w:eastAsiaTheme="minorEastAsia" w:hAnsi="Cambria Math" w:cs="Times New Roman"/>
            <w:lang w:val="en-GB"/>
          </w:rPr>
          <m:t>/</m:t>
        </m:r>
        <m:r>
          <w:rPr>
            <w:rFonts w:ascii="Cambria Math" w:eastAsiaTheme="minorEastAsia" w:hAnsi="Cambria Math" w:cs="Times New Roman"/>
          </w:rPr>
          <m:t>K</m:t>
        </m:r>
        <m:r>
          <w:rPr>
            <w:rFonts w:ascii="Cambria Math" w:eastAsiaTheme="minorEastAsia" w:hAnsi="Cambria Math" w:cs="Times New Roman"/>
            <w:lang w:val="en-GB"/>
          </w:rPr>
          <m:t>)-(</m:t>
        </m:r>
        <m:r>
          <w:rPr>
            <w:rFonts w:ascii="Cambria Math" w:eastAsiaTheme="minorEastAsia" w:hAnsi="Cambria Math" w:cs="Times New Roman"/>
          </w:rPr>
          <m:t>D</m:t>
        </m:r>
        <m:r>
          <w:rPr>
            <w:rFonts w:ascii="Cambria Math" w:eastAsiaTheme="minorEastAsia" w:hAnsi="Cambria Math" w:cs="Times New Roman"/>
            <w:lang w:val="en-GB"/>
          </w:rPr>
          <m:t>/</m:t>
        </m:r>
        <m:r>
          <w:rPr>
            <w:rFonts w:ascii="Cambria Math" w:eastAsiaTheme="minorEastAsia" w:hAnsi="Cambria Math" w:cs="Times New Roman"/>
          </w:rPr>
          <m:t>K</m:t>
        </m:r>
        <m:r>
          <w:rPr>
            <w:rFonts w:ascii="Cambria Math" w:eastAsiaTheme="minorEastAsia" w:hAnsi="Cambria Math" w:cs="Times New Roman"/>
            <w:lang w:val="en-GB"/>
          </w:rPr>
          <m:t>).</m:t>
        </m:r>
      </m:oMath>
      <w:r w:rsidR="000D0840" w:rsidRPr="00ED3DBB">
        <w:rPr>
          <w:rFonts w:ascii="Times New Roman" w:eastAsiaTheme="minorEastAsia" w:hAnsi="Times New Roman" w:cs="Times New Roman"/>
          <w:i/>
          <w:iCs/>
          <w:lang w:val="en-GB"/>
        </w:rPr>
        <w:t xml:space="preserve"> </w:t>
      </w:r>
      <w:r w:rsidR="00FF6D00" w:rsidRPr="00ED3DBB">
        <w:rPr>
          <w:rFonts w:ascii="Times New Roman" w:eastAsiaTheme="minorEastAsia" w:hAnsi="Times New Roman" w:cs="Times New Roman"/>
          <w:lang w:val="en-GB"/>
        </w:rPr>
        <w:t xml:space="preserve">Hence, </w:t>
      </w:r>
      <w:r w:rsidR="00822F49" w:rsidRPr="00ED3DBB">
        <w:rPr>
          <w:rFonts w:ascii="Times New Roman" w:eastAsiaTheme="minorEastAsia" w:hAnsi="Times New Roman" w:cs="Times New Roman"/>
          <w:lang w:val="en-GB"/>
        </w:rPr>
        <w:t xml:space="preserve">if </w:t>
      </w:r>
      <w:r w:rsidR="00561024" w:rsidRPr="00ED3DBB">
        <w:rPr>
          <w:rFonts w:ascii="Times New Roman" w:eastAsiaTheme="minorEastAsia" w:hAnsi="Times New Roman" w:cs="Times New Roman"/>
          <w:lang w:val="en-GB"/>
        </w:rPr>
        <w:t xml:space="preserve">the capital-output ratio, </w:t>
      </w:r>
      <w:r w:rsidR="003901EE" w:rsidRPr="00ED3DBB">
        <w:rPr>
          <w:rFonts w:ascii="Times New Roman" w:eastAsiaTheme="minorEastAsia" w:hAnsi="Times New Roman" w:cs="Times New Roman"/>
          <w:i/>
          <w:iCs/>
          <w:lang w:val="en-GB"/>
        </w:rPr>
        <w:t>K</w:t>
      </w:r>
      <w:r w:rsidR="00B82E40" w:rsidRPr="00ED3DBB">
        <w:rPr>
          <w:rFonts w:ascii="Times New Roman" w:eastAsiaTheme="minorEastAsia" w:hAnsi="Times New Roman" w:cs="Times New Roman"/>
          <w:i/>
          <w:iCs/>
          <w:lang w:val="en-GB"/>
        </w:rPr>
        <w:t>/Y</w:t>
      </w:r>
      <w:r w:rsidR="00B82E40" w:rsidRPr="00ED3DBB">
        <w:rPr>
          <w:rFonts w:ascii="Times New Roman" w:eastAsiaTheme="minorEastAsia" w:hAnsi="Times New Roman" w:cs="Times New Roman"/>
          <w:lang w:val="en-GB"/>
        </w:rPr>
        <w:t xml:space="preserve">, </w:t>
      </w:r>
      <w:r w:rsidR="00E85674" w:rsidRPr="00ED3DBB">
        <w:rPr>
          <w:rFonts w:ascii="Times New Roman" w:eastAsiaTheme="minorEastAsia" w:hAnsi="Times New Roman" w:cs="Times New Roman"/>
          <w:lang w:val="en-GB"/>
        </w:rPr>
        <w:t>and the depreciation rate</w:t>
      </w:r>
      <w:r w:rsidR="00285CAE" w:rsidRPr="00ED3DBB">
        <w:rPr>
          <w:rFonts w:ascii="Times New Roman" w:eastAsiaTheme="minorEastAsia" w:hAnsi="Times New Roman" w:cs="Times New Roman"/>
          <w:lang w:val="en-GB"/>
        </w:rPr>
        <w:t xml:space="preserve">, </w:t>
      </w:r>
      <m:oMath>
        <m:r>
          <w:rPr>
            <w:rFonts w:ascii="Cambria Math" w:eastAsiaTheme="minorEastAsia" w:hAnsi="Cambria Math" w:cs="Times New Roman"/>
            <w:lang w:val="en-GB"/>
          </w:rPr>
          <m:t>D/Y,</m:t>
        </m:r>
      </m:oMath>
      <w:r w:rsidR="00822F49" w:rsidRPr="00ED3DBB">
        <w:rPr>
          <w:rFonts w:ascii="Times New Roman" w:eastAsiaTheme="minorEastAsia" w:hAnsi="Times New Roman" w:cs="Times New Roman"/>
          <w:lang w:val="en-GB"/>
        </w:rPr>
        <w:t xml:space="preserve"> </w:t>
      </w:r>
      <w:r w:rsidR="00A87A8C" w:rsidRPr="00ED3DBB">
        <w:rPr>
          <w:rFonts w:ascii="Times New Roman" w:eastAsiaTheme="minorEastAsia" w:hAnsi="Times New Roman" w:cs="Times New Roman"/>
          <w:lang w:val="en-GB"/>
        </w:rPr>
        <w:t xml:space="preserve">are given, a constant gross profit share, </w:t>
      </w:r>
      <m:oMath>
        <m:r>
          <w:rPr>
            <w:rFonts w:ascii="Cambria Math" w:eastAsiaTheme="minorEastAsia" w:hAnsi="Cambria Math" w:cs="Times New Roman"/>
            <w:lang w:val="en-GB"/>
          </w:rPr>
          <m:t>π/Y</m:t>
        </m:r>
      </m:oMath>
      <w:r w:rsidR="00A87A8C" w:rsidRPr="00ED3DBB">
        <w:rPr>
          <w:rFonts w:ascii="Times New Roman" w:eastAsiaTheme="minorEastAsia" w:hAnsi="Times New Roman" w:cs="Times New Roman"/>
          <w:iCs/>
          <w:lang w:val="en-GB"/>
        </w:rPr>
        <w:t>,</w:t>
      </w:r>
      <w:r w:rsidR="00AF6515" w:rsidRPr="00ED3DBB">
        <w:rPr>
          <w:rFonts w:ascii="Times New Roman" w:eastAsiaTheme="minorEastAsia" w:hAnsi="Times New Roman" w:cs="Times New Roman"/>
          <w:iCs/>
          <w:lang w:val="en-GB"/>
        </w:rPr>
        <w:t xml:space="preserve"> implies a constant rate of return to capital</w:t>
      </w:r>
      <w:r w:rsidR="002051C3">
        <w:rPr>
          <w:rFonts w:ascii="Times New Roman" w:eastAsiaTheme="minorEastAsia" w:hAnsi="Times New Roman" w:cs="Times New Roman"/>
          <w:iCs/>
          <w:lang w:val="en-GB"/>
        </w:rPr>
        <w:t xml:space="preserve">, </w:t>
      </w:r>
      <w:r w:rsidR="002051C3">
        <w:rPr>
          <w:rFonts w:ascii="Times New Roman" w:eastAsiaTheme="minorEastAsia" w:hAnsi="Times New Roman" w:cs="Times New Roman"/>
          <w:i/>
          <w:lang w:val="en-GB"/>
        </w:rPr>
        <w:t>R.</w:t>
      </w:r>
    </w:p>
  </w:footnote>
  <w:footnote w:id="18">
    <w:p w14:paraId="0CF1C0C8" w14:textId="7DFE81C8" w:rsidR="00A8769B" w:rsidRPr="00AE0513" w:rsidRDefault="00A8769B">
      <w:pPr>
        <w:pStyle w:val="FootnoteText"/>
        <w:rPr>
          <w:lang w:val="en-GB"/>
        </w:rPr>
      </w:pPr>
      <w:r>
        <w:rPr>
          <w:rStyle w:val="FootnoteReference"/>
        </w:rPr>
        <w:footnoteRef/>
      </w:r>
      <w:r w:rsidRPr="00A8769B">
        <w:rPr>
          <w:lang w:val="en-GB"/>
        </w:rPr>
        <w:t xml:space="preserve"> </w:t>
      </w:r>
      <w:r w:rsidR="000B35CB" w:rsidRPr="00EE1F3C">
        <w:rPr>
          <w:rFonts w:ascii="Times New Roman" w:hAnsi="Times New Roman" w:cs="Times New Roman"/>
          <w:lang w:val="en-GB"/>
        </w:rPr>
        <w:t xml:space="preserve">If </w:t>
      </w:r>
      <m:oMath>
        <m:sSubSup>
          <m:sSubSupPr>
            <m:ctrlPr>
              <w:rPr>
                <w:rFonts w:ascii="Cambria Math" w:hAnsi="Cambria Math" w:cs="Times New Roman"/>
                <w:i/>
              </w:rPr>
            </m:ctrlPr>
          </m:sSubSupPr>
          <m:e>
            <m:r>
              <w:rPr>
                <w:rFonts w:ascii="Cambria Math" w:hAnsi="Cambria Math" w:cs="Times New Roman"/>
              </w:rPr>
              <m:t>w</m:t>
            </m:r>
          </m:e>
          <m:sub>
            <m:r>
              <w:rPr>
                <w:rFonts w:ascii="Cambria Math" w:hAnsi="Cambria Math" w:cs="Times New Roman"/>
              </w:rPr>
              <m:t>T</m:t>
            </m:r>
          </m:sub>
          <m:sup>
            <m:r>
              <w:rPr>
                <w:rFonts w:ascii="Cambria Math" w:hAnsi="Cambria Math" w:cs="Times New Roman"/>
              </w:rPr>
              <m:t>i</m:t>
            </m:r>
          </m:sup>
        </m:sSubSup>
      </m:oMath>
      <w:r w:rsidR="000B2AB0" w:rsidRPr="00EE1F3C">
        <w:rPr>
          <w:rFonts w:ascii="Times New Roman" w:eastAsiaTheme="minorEastAsia" w:hAnsi="Times New Roman" w:cs="Times New Roman"/>
          <w:lang w:val="en-GB"/>
        </w:rPr>
        <w:t xml:space="preserve"> is the wage, </w:t>
      </w:r>
      <m:oMath>
        <m:sSubSup>
          <m:sSubSupPr>
            <m:ctrlPr>
              <w:rPr>
                <w:rFonts w:ascii="Cambria Math" w:hAnsi="Cambria Math" w:cs="Times New Roman"/>
                <w:i/>
              </w:rPr>
            </m:ctrlPr>
          </m:sSubSupPr>
          <m:e>
            <m:r>
              <w:rPr>
                <w:rFonts w:ascii="Cambria Math" w:hAnsi="Cambria Math" w:cs="Times New Roman"/>
              </w:rPr>
              <m:t>L</m:t>
            </m:r>
          </m:e>
          <m:sub>
            <m:r>
              <w:rPr>
                <w:rFonts w:ascii="Cambria Math" w:hAnsi="Cambria Math" w:cs="Times New Roman"/>
              </w:rPr>
              <m:t>T</m:t>
            </m:r>
          </m:sub>
          <m:sup>
            <m:r>
              <w:rPr>
                <w:rFonts w:ascii="Cambria Math" w:hAnsi="Cambria Math" w:cs="Times New Roman"/>
              </w:rPr>
              <m:t>i</m:t>
            </m:r>
          </m:sup>
        </m:sSubSup>
      </m:oMath>
      <w:r w:rsidR="006A701D" w:rsidRPr="00EE1F3C">
        <w:rPr>
          <w:rFonts w:ascii="Times New Roman" w:eastAsiaTheme="minorEastAsia" w:hAnsi="Times New Roman" w:cs="Times New Roman"/>
          <w:lang w:val="en-GB"/>
        </w:rPr>
        <w:t xml:space="preserve"> </w:t>
      </w:r>
      <w:r w:rsidR="0076008A">
        <w:rPr>
          <w:rFonts w:ascii="Times New Roman" w:eastAsiaTheme="minorEastAsia" w:hAnsi="Times New Roman" w:cs="Times New Roman"/>
          <w:lang w:val="en-GB"/>
        </w:rPr>
        <w:t>hours worked</w:t>
      </w:r>
      <w:r w:rsidR="00FB2D16" w:rsidRPr="00EE1F3C">
        <w:rPr>
          <w:rFonts w:ascii="Times New Roman" w:eastAsiaTheme="minorEastAsia" w:hAnsi="Times New Roman" w:cs="Times New Roman"/>
          <w:lang w:val="en-GB"/>
        </w:rPr>
        <w:t xml:space="preserve">, </w:t>
      </w:r>
      <m:oMath>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T</m:t>
            </m:r>
          </m:sub>
          <m:sup>
            <m:r>
              <w:rPr>
                <w:rFonts w:ascii="Cambria Math" w:hAnsi="Cambria Math" w:cs="Times New Roman"/>
              </w:rPr>
              <m:t>i</m:t>
            </m:r>
          </m:sup>
        </m:sSubSup>
      </m:oMath>
      <w:r w:rsidR="00FB2D16" w:rsidRPr="00EE1F3C">
        <w:rPr>
          <w:rFonts w:ascii="Times New Roman" w:eastAsiaTheme="minorEastAsia" w:hAnsi="Times New Roman" w:cs="Times New Roman"/>
          <w:lang w:val="en-GB"/>
        </w:rPr>
        <w:t xml:space="preserve"> </w:t>
      </w:r>
      <w:r w:rsidR="009535B5" w:rsidRPr="00EE1F3C">
        <w:rPr>
          <w:rFonts w:ascii="Times New Roman" w:eastAsiaTheme="minorEastAsia" w:hAnsi="Times New Roman" w:cs="Times New Roman"/>
          <w:lang w:val="en-GB"/>
        </w:rPr>
        <w:t>the price</w:t>
      </w:r>
      <w:r w:rsidR="00CA7868" w:rsidRPr="00EE1F3C">
        <w:rPr>
          <w:rFonts w:ascii="Times New Roman" w:eastAsiaTheme="minorEastAsia" w:hAnsi="Times New Roman" w:cs="Times New Roman"/>
          <w:lang w:val="en-GB"/>
        </w:rPr>
        <w:t>,</w:t>
      </w:r>
      <w:r w:rsidR="009535B5" w:rsidRPr="00EE1F3C">
        <w:rPr>
          <w:rFonts w:ascii="Times New Roman" w:eastAsiaTheme="minorEastAsia" w:hAnsi="Times New Roman" w:cs="Times New Roman"/>
          <w:lang w:val="en-GB"/>
        </w:rPr>
        <w:t xml:space="preserve"> </w:t>
      </w:r>
      <m:oMath>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m:t>
            </m:r>
          </m:sub>
          <m:sup>
            <m:r>
              <w:rPr>
                <w:rFonts w:ascii="Cambria Math" w:hAnsi="Cambria Math" w:cs="Times New Roman"/>
              </w:rPr>
              <m:t>i</m:t>
            </m:r>
          </m:sup>
        </m:sSubSup>
      </m:oMath>
      <w:r w:rsidR="00C32101" w:rsidRPr="00EE1F3C">
        <w:rPr>
          <w:rFonts w:ascii="Times New Roman" w:eastAsiaTheme="minorEastAsia" w:hAnsi="Times New Roman" w:cs="Times New Roman"/>
          <w:lang w:val="en-GB"/>
        </w:rPr>
        <w:t xml:space="preserve"> output</w:t>
      </w:r>
      <w:r w:rsidR="006E5714">
        <w:rPr>
          <w:rFonts w:ascii="Times New Roman" w:eastAsiaTheme="minorEastAsia" w:hAnsi="Times New Roman" w:cs="Times New Roman"/>
          <w:lang w:val="en-GB"/>
        </w:rPr>
        <w:t>,</w:t>
      </w:r>
      <w:r w:rsidR="00CA7868" w:rsidRPr="00EE1F3C">
        <w:rPr>
          <w:rFonts w:ascii="Times New Roman" w:eastAsiaTheme="minorEastAsia" w:hAnsi="Times New Roman" w:cs="Times New Roman"/>
          <w:lang w:val="en-GB"/>
        </w:rPr>
        <w:t xml:space="preserve"> </w:t>
      </w:r>
      <m:oMath>
        <m:sSubSup>
          <m:sSubSupPr>
            <m:ctrlPr>
              <w:rPr>
                <w:rFonts w:ascii="Cambria Math" w:hAnsi="Cambria Math" w:cs="Times New Roman"/>
                <w:i/>
              </w:rPr>
            </m:ctrlPr>
          </m:sSubSupPr>
          <m:e>
            <m:r>
              <w:rPr>
                <w:rFonts w:ascii="Cambria Math" w:hAnsi="Cambria Math" w:cs="Times New Roman"/>
              </w:rPr>
              <m:t>q</m:t>
            </m:r>
          </m:e>
          <m:sub>
            <m:r>
              <w:rPr>
                <w:rFonts w:ascii="Cambria Math" w:hAnsi="Cambria Math" w:cs="Times New Roman"/>
              </w:rPr>
              <m:t>T</m:t>
            </m:r>
          </m:sub>
          <m:sup>
            <m:r>
              <w:rPr>
                <w:rFonts w:ascii="Cambria Math" w:hAnsi="Cambria Math" w:cs="Times New Roman"/>
              </w:rPr>
              <m:t>i</m:t>
            </m:r>
          </m:sup>
        </m:sSubSup>
        <m:r>
          <w:rPr>
            <w:rFonts w:ascii="Cambria Math" w:hAnsi="Cambria Math" w:cs="Times New Roman"/>
            <w:lang w:val="en-GB"/>
          </w:rPr>
          <m:t>=</m:t>
        </m:r>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m:t>
            </m:r>
          </m:sub>
          <m:sup>
            <m:r>
              <w:rPr>
                <w:rFonts w:ascii="Cambria Math" w:hAnsi="Cambria Math" w:cs="Times New Roman"/>
              </w:rPr>
              <m:t>i</m:t>
            </m:r>
          </m:sup>
        </m:sSubSup>
        <m:r>
          <w:rPr>
            <w:rFonts w:ascii="Cambria Math" w:hAnsi="Cambria Math" w:cs="Times New Roman"/>
            <w:lang w:val="en-GB"/>
          </w:rPr>
          <m:t>/</m:t>
        </m:r>
        <m:sSubSup>
          <m:sSubSupPr>
            <m:ctrlPr>
              <w:rPr>
                <w:rFonts w:ascii="Cambria Math" w:hAnsi="Cambria Math" w:cs="Times New Roman"/>
                <w:i/>
              </w:rPr>
            </m:ctrlPr>
          </m:sSubSupPr>
          <m:e>
            <m:r>
              <w:rPr>
                <w:rFonts w:ascii="Cambria Math" w:hAnsi="Cambria Math" w:cs="Times New Roman"/>
              </w:rPr>
              <m:t>L</m:t>
            </m:r>
          </m:e>
          <m:sub>
            <m:r>
              <w:rPr>
                <w:rFonts w:ascii="Cambria Math" w:hAnsi="Cambria Math" w:cs="Times New Roman"/>
              </w:rPr>
              <m:t>T</m:t>
            </m:r>
          </m:sub>
          <m:sup>
            <m:r>
              <w:rPr>
                <w:rFonts w:ascii="Cambria Math" w:hAnsi="Cambria Math" w:cs="Times New Roman"/>
              </w:rPr>
              <m:t>i</m:t>
            </m:r>
          </m:sup>
        </m:sSubSup>
      </m:oMath>
      <w:r w:rsidR="00CA7868" w:rsidRPr="00EE1F3C">
        <w:rPr>
          <w:rFonts w:ascii="Times New Roman" w:eastAsiaTheme="minorEastAsia" w:hAnsi="Times New Roman" w:cs="Times New Roman"/>
          <w:lang w:val="en-GB"/>
        </w:rPr>
        <w:t xml:space="preserve"> </w:t>
      </w:r>
      <w:r w:rsidR="00136972" w:rsidRPr="00EE1F3C">
        <w:rPr>
          <w:rFonts w:ascii="Times New Roman" w:eastAsiaTheme="minorEastAsia" w:hAnsi="Times New Roman" w:cs="Times New Roman"/>
          <w:lang w:val="en-GB"/>
        </w:rPr>
        <w:t>labour productivity</w:t>
      </w:r>
      <w:r w:rsidR="00C32101" w:rsidRPr="00EE1F3C">
        <w:rPr>
          <w:rFonts w:ascii="Times New Roman" w:eastAsiaTheme="minorEastAsia" w:hAnsi="Times New Roman" w:cs="Times New Roman"/>
          <w:lang w:val="en-GB"/>
        </w:rPr>
        <w:t xml:space="preserve"> </w:t>
      </w:r>
      <w:r w:rsidR="006E5714">
        <w:rPr>
          <w:rFonts w:ascii="Times New Roman" w:eastAsiaTheme="minorEastAsia" w:hAnsi="Times New Roman" w:cs="Times New Roman"/>
          <w:lang w:val="en-GB"/>
        </w:rPr>
        <w:t>and</w:t>
      </w:r>
      <w:r w:rsidR="00C32101" w:rsidRPr="00EE1F3C">
        <w:rPr>
          <w:rFonts w:ascii="Times New Roman" w:eastAsiaTheme="minorEastAsia" w:hAnsi="Times New Roman" w:cs="Times New Roman"/>
          <w:lang w:val="en-GB"/>
        </w:rPr>
        <w:t xml:space="preserve"> </w:t>
      </w:r>
      <m:oMath>
        <m:r>
          <w:rPr>
            <w:rFonts w:ascii="Cambria Math" w:hAnsi="Cambria Math" w:cs="Times New Roman"/>
            <w:lang w:val="en-GB"/>
          </w:rPr>
          <m:t>i=H,F</m:t>
        </m:r>
      </m:oMath>
      <w:r w:rsidR="00C32101" w:rsidRPr="00EE1F3C">
        <w:rPr>
          <w:rFonts w:ascii="Times New Roman" w:eastAsiaTheme="minorEastAsia" w:hAnsi="Times New Roman" w:cs="Times New Roman"/>
          <w:lang w:val="en-GB"/>
        </w:rPr>
        <w:t xml:space="preserve"> , the wage share is </w:t>
      </w: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T</m:t>
            </m:r>
          </m:sub>
          <m:sup>
            <m:r>
              <w:rPr>
                <w:rFonts w:ascii="Cambria Math" w:hAnsi="Cambria Math" w:cs="Times New Roman"/>
              </w:rPr>
              <m:t>i</m:t>
            </m:r>
          </m:sup>
        </m:sSubSup>
        <m:r>
          <w:rPr>
            <w:rFonts w:ascii="Cambria Math" w:hAnsi="Cambria Math" w:cs="Times New Roman"/>
            <w:lang w:val="en-GB"/>
          </w:rPr>
          <m:t>=</m:t>
        </m:r>
        <m:sSubSup>
          <m:sSubSupPr>
            <m:ctrlPr>
              <w:rPr>
                <w:rFonts w:ascii="Cambria Math" w:hAnsi="Cambria Math" w:cs="Times New Roman"/>
                <w:i/>
              </w:rPr>
            </m:ctrlPr>
          </m:sSubSupPr>
          <m:e>
            <m:r>
              <w:rPr>
                <w:rFonts w:ascii="Cambria Math" w:hAnsi="Cambria Math" w:cs="Times New Roman"/>
              </w:rPr>
              <m:t>w</m:t>
            </m:r>
          </m:e>
          <m:sub>
            <m:r>
              <w:rPr>
                <w:rFonts w:ascii="Cambria Math" w:hAnsi="Cambria Math" w:cs="Times New Roman"/>
              </w:rPr>
              <m:t>T</m:t>
            </m:r>
          </m:sub>
          <m:sup>
            <m:r>
              <w:rPr>
                <w:rFonts w:ascii="Cambria Math" w:hAnsi="Cambria Math" w:cs="Times New Roman"/>
              </w:rPr>
              <m:t>i</m:t>
            </m:r>
          </m:sup>
        </m:sSubSup>
        <m:sSubSup>
          <m:sSubSupPr>
            <m:ctrlPr>
              <w:rPr>
                <w:rFonts w:ascii="Cambria Math" w:hAnsi="Cambria Math" w:cs="Times New Roman"/>
                <w:i/>
              </w:rPr>
            </m:ctrlPr>
          </m:sSubSupPr>
          <m:e>
            <m:r>
              <w:rPr>
                <w:rFonts w:ascii="Cambria Math" w:hAnsi="Cambria Math" w:cs="Times New Roman"/>
              </w:rPr>
              <m:t>L</m:t>
            </m:r>
          </m:e>
          <m:sub>
            <m:r>
              <w:rPr>
                <w:rFonts w:ascii="Cambria Math" w:hAnsi="Cambria Math" w:cs="Times New Roman"/>
              </w:rPr>
              <m:t>T</m:t>
            </m:r>
          </m:sub>
          <m:sup>
            <m:r>
              <w:rPr>
                <w:rFonts w:ascii="Cambria Math" w:hAnsi="Cambria Math" w:cs="Times New Roman"/>
              </w:rPr>
              <m:t>i</m:t>
            </m:r>
          </m:sup>
        </m:sSubSup>
        <m:r>
          <w:rPr>
            <w:rFonts w:ascii="Cambria Math" w:hAnsi="Cambria Math" w:cs="Times New Roman"/>
            <w:lang w:val="en-GB"/>
          </w:rPr>
          <m:t>/</m:t>
        </m:r>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T</m:t>
            </m:r>
          </m:sub>
          <m:sup>
            <m:r>
              <w:rPr>
                <w:rFonts w:ascii="Cambria Math" w:hAnsi="Cambria Math" w:cs="Times New Roman"/>
              </w:rPr>
              <m:t>i</m:t>
            </m:r>
          </m:sup>
        </m:sSubSup>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m:t>
            </m:r>
          </m:sub>
          <m:sup>
            <m:r>
              <w:rPr>
                <w:rFonts w:ascii="Cambria Math" w:hAnsi="Cambria Math" w:cs="Times New Roman"/>
              </w:rPr>
              <m:t>i</m:t>
            </m:r>
          </m:sup>
        </m:sSubSup>
        <m:r>
          <w:rPr>
            <w:rFonts w:ascii="Cambria Math" w:hAnsi="Cambria Math" w:cs="Times New Roman"/>
            <w:lang w:val="en-GB"/>
          </w:rPr>
          <m:t>=</m:t>
        </m:r>
        <m:sSubSup>
          <m:sSubSupPr>
            <m:ctrlPr>
              <w:rPr>
                <w:rFonts w:ascii="Cambria Math" w:hAnsi="Cambria Math" w:cs="Times New Roman"/>
                <w:i/>
              </w:rPr>
            </m:ctrlPr>
          </m:sSubSupPr>
          <m:e>
            <m:r>
              <w:rPr>
                <w:rFonts w:ascii="Cambria Math" w:hAnsi="Cambria Math" w:cs="Times New Roman"/>
              </w:rPr>
              <m:t>w</m:t>
            </m:r>
          </m:e>
          <m:sub>
            <m:r>
              <w:rPr>
                <w:rFonts w:ascii="Cambria Math" w:hAnsi="Cambria Math" w:cs="Times New Roman"/>
              </w:rPr>
              <m:t>T</m:t>
            </m:r>
          </m:sub>
          <m:sup>
            <m:r>
              <w:rPr>
                <w:rFonts w:ascii="Cambria Math" w:hAnsi="Cambria Math" w:cs="Times New Roman"/>
              </w:rPr>
              <m:t>i</m:t>
            </m:r>
          </m:sup>
        </m:sSubSup>
        <m:r>
          <w:rPr>
            <w:rFonts w:ascii="Cambria Math" w:hAnsi="Cambria Math" w:cs="Times New Roman"/>
            <w:lang w:val="en-GB"/>
          </w:rPr>
          <m:t>/</m:t>
        </m:r>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T</m:t>
            </m:r>
          </m:sub>
          <m:sup>
            <m:r>
              <w:rPr>
                <w:rFonts w:ascii="Cambria Math" w:hAnsi="Cambria Math" w:cs="Times New Roman"/>
              </w:rPr>
              <m:t>i</m:t>
            </m:r>
          </m:sup>
        </m:sSubSup>
        <m:sSubSup>
          <m:sSubSupPr>
            <m:ctrlPr>
              <w:rPr>
                <w:rFonts w:ascii="Cambria Math" w:hAnsi="Cambria Math" w:cs="Times New Roman"/>
                <w:i/>
              </w:rPr>
            </m:ctrlPr>
          </m:sSubSupPr>
          <m:e>
            <m:r>
              <w:rPr>
                <w:rFonts w:ascii="Cambria Math" w:hAnsi="Cambria Math" w:cs="Times New Roman"/>
              </w:rPr>
              <m:t>q</m:t>
            </m:r>
          </m:e>
          <m:sub>
            <m:r>
              <w:rPr>
                <w:rFonts w:ascii="Cambria Math" w:hAnsi="Cambria Math" w:cs="Times New Roman"/>
              </w:rPr>
              <m:t>T</m:t>
            </m:r>
          </m:sub>
          <m:sup>
            <m:r>
              <w:rPr>
                <w:rFonts w:ascii="Cambria Math" w:hAnsi="Cambria Math" w:cs="Times New Roman"/>
              </w:rPr>
              <m:t>i</m:t>
            </m:r>
          </m:sup>
        </m:sSubSup>
      </m:oMath>
      <w:r w:rsidR="00AE0513" w:rsidRPr="00EE1F3C">
        <w:rPr>
          <w:rFonts w:ascii="Times New Roman" w:eastAsiaTheme="minorEastAsia" w:hAnsi="Times New Roman" w:cs="Times New Roman"/>
          <w:lang w:val="en-GB"/>
        </w:rPr>
        <w:t>. Then equation (1) follows.</w:t>
      </w:r>
    </w:p>
  </w:footnote>
  <w:footnote w:id="19">
    <w:p w14:paraId="4A8F2C0E" w14:textId="7F9DC19A" w:rsidR="00282A57" w:rsidRPr="006B5CC2" w:rsidRDefault="00282A57">
      <w:pPr>
        <w:pStyle w:val="FootnoteText"/>
        <w:rPr>
          <w:rFonts w:ascii="Times New Roman" w:hAnsi="Times New Roman" w:cs="Times New Roman"/>
          <w:lang w:val="en-GB"/>
        </w:rPr>
      </w:pPr>
      <w:r>
        <w:rPr>
          <w:rStyle w:val="FootnoteReference"/>
        </w:rPr>
        <w:footnoteRef/>
      </w:r>
      <w:r w:rsidRPr="00282A57">
        <w:rPr>
          <w:lang w:val="en-GB"/>
        </w:rPr>
        <w:t xml:space="preserve"> </w:t>
      </w:r>
      <w:r w:rsidRPr="0008527F">
        <w:rPr>
          <w:rFonts w:ascii="Times New Roman" w:hAnsi="Times New Roman" w:cs="Times New Roman"/>
          <w:lang w:val="en-GB"/>
        </w:rPr>
        <w:t xml:space="preserve">The unit labour cost is defined as </w:t>
      </w:r>
      <m:oMath>
        <m:sSubSup>
          <m:sSubSupPr>
            <m:ctrlPr>
              <w:rPr>
                <w:rFonts w:ascii="Cambria Math" w:hAnsi="Cambria Math" w:cs="Times New Roman"/>
                <w:i/>
              </w:rPr>
            </m:ctrlPr>
          </m:sSubSupPr>
          <m:e>
            <m:r>
              <w:rPr>
                <w:rFonts w:ascii="Cambria Math" w:hAnsi="Cambria Math" w:cs="Times New Roman"/>
              </w:rPr>
              <m:t>w</m:t>
            </m:r>
          </m:e>
          <m:sub>
            <m:r>
              <w:rPr>
                <w:rFonts w:ascii="Cambria Math" w:hAnsi="Cambria Math" w:cs="Times New Roman"/>
              </w:rPr>
              <m:t>T</m:t>
            </m:r>
          </m:sub>
          <m:sup>
            <m:r>
              <w:rPr>
                <w:rFonts w:ascii="Cambria Math" w:hAnsi="Cambria Math" w:cs="Times New Roman"/>
              </w:rPr>
              <m:t>i</m:t>
            </m:r>
          </m:sup>
        </m:sSubSup>
        <m:sSubSup>
          <m:sSubSupPr>
            <m:ctrlPr>
              <w:rPr>
                <w:rFonts w:ascii="Cambria Math" w:hAnsi="Cambria Math" w:cs="Times New Roman"/>
                <w:i/>
              </w:rPr>
            </m:ctrlPr>
          </m:sSubSupPr>
          <m:e>
            <m:r>
              <w:rPr>
                <w:rFonts w:ascii="Cambria Math" w:hAnsi="Cambria Math" w:cs="Times New Roman"/>
              </w:rPr>
              <m:t>L</m:t>
            </m:r>
          </m:e>
          <m:sub>
            <m:r>
              <w:rPr>
                <w:rFonts w:ascii="Cambria Math" w:hAnsi="Cambria Math" w:cs="Times New Roman"/>
              </w:rPr>
              <m:t>T</m:t>
            </m:r>
          </m:sub>
          <m:sup>
            <m:r>
              <w:rPr>
                <w:rFonts w:ascii="Cambria Math" w:hAnsi="Cambria Math" w:cs="Times New Roman"/>
              </w:rPr>
              <m:t>i</m:t>
            </m:r>
          </m:sup>
        </m:sSubSup>
        <m:r>
          <w:rPr>
            <w:rFonts w:ascii="Cambria Math" w:hAnsi="Cambria Math" w:cs="Times New Roman"/>
            <w:lang w:val="en-GB"/>
          </w:rPr>
          <m:t>/</m:t>
        </m:r>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m:t>
            </m:r>
          </m:sub>
          <m:sup>
            <m:r>
              <w:rPr>
                <w:rFonts w:ascii="Cambria Math" w:hAnsi="Cambria Math" w:cs="Times New Roman"/>
              </w:rPr>
              <m:t>i</m:t>
            </m:r>
          </m:sup>
        </m:sSubSup>
        <m:r>
          <w:rPr>
            <w:rFonts w:ascii="Cambria Math" w:hAnsi="Cambria Math" w:cs="Times New Roman"/>
            <w:lang w:val="en-GB"/>
          </w:rPr>
          <m:t>=</m:t>
        </m:r>
        <m:sSubSup>
          <m:sSubSupPr>
            <m:ctrlPr>
              <w:rPr>
                <w:rFonts w:ascii="Cambria Math" w:hAnsi="Cambria Math" w:cs="Times New Roman"/>
                <w:i/>
              </w:rPr>
            </m:ctrlPr>
          </m:sSubSupPr>
          <m:e>
            <m:r>
              <w:rPr>
                <w:rFonts w:ascii="Cambria Math" w:hAnsi="Cambria Math" w:cs="Times New Roman"/>
              </w:rPr>
              <m:t>w</m:t>
            </m:r>
          </m:e>
          <m:sub>
            <m:r>
              <w:rPr>
                <w:rFonts w:ascii="Cambria Math" w:hAnsi="Cambria Math" w:cs="Times New Roman"/>
              </w:rPr>
              <m:t>T</m:t>
            </m:r>
          </m:sub>
          <m:sup>
            <m:r>
              <w:rPr>
                <w:rFonts w:ascii="Cambria Math" w:hAnsi="Cambria Math" w:cs="Times New Roman"/>
              </w:rPr>
              <m:t>i</m:t>
            </m:r>
          </m:sup>
        </m:sSubSup>
        <m:r>
          <w:rPr>
            <w:rFonts w:ascii="Cambria Math" w:hAnsi="Cambria Math" w:cs="Times New Roman"/>
            <w:lang w:val="en-GB"/>
          </w:rPr>
          <m:t>/</m:t>
        </m:r>
        <m:sSubSup>
          <m:sSubSupPr>
            <m:ctrlPr>
              <w:rPr>
                <w:rFonts w:ascii="Cambria Math" w:hAnsi="Cambria Math" w:cs="Times New Roman"/>
                <w:i/>
              </w:rPr>
            </m:ctrlPr>
          </m:sSubSupPr>
          <m:e>
            <m:r>
              <w:rPr>
                <w:rFonts w:ascii="Cambria Math" w:hAnsi="Cambria Math" w:cs="Times New Roman"/>
              </w:rPr>
              <m:t>q</m:t>
            </m:r>
          </m:e>
          <m:sub>
            <m:r>
              <w:rPr>
                <w:rFonts w:ascii="Cambria Math" w:hAnsi="Cambria Math" w:cs="Times New Roman"/>
              </w:rPr>
              <m:t>T</m:t>
            </m:r>
          </m:sub>
          <m:sup>
            <m:r>
              <w:rPr>
                <w:rFonts w:ascii="Cambria Math" w:hAnsi="Cambria Math" w:cs="Times New Roman"/>
              </w:rPr>
              <m:t>i</m:t>
            </m:r>
          </m:sup>
        </m:sSubSup>
      </m:oMath>
      <w:r w:rsidR="004339A6" w:rsidRPr="0008527F">
        <w:rPr>
          <w:rFonts w:ascii="Times New Roman" w:eastAsiaTheme="minorEastAsia" w:hAnsi="Times New Roman" w:cs="Times New Roman"/>
          <w:lang w:val="en-GB"/>
        </w:rPr>
        <w:t xml:space="preserve">. It follows that </w:t>
      </w:r>
      <m:oMath>
        <m:r>
          <w:rPr>
            <w:rFonts w:ascii="Cambria Math" w:hAnsi="Cambria Math" w:cs="Times New Roman"/>
            <w:lang w:val="en-GB"/>
          </w:rPr>
          <m:t>∆</m:t>
        </m:r>
        <m:sSubSup>
          <m:sSubSupPr>
            <m:ctrlPr>
              <w:rPr>
                <w:rFonts w:ascii="Cambria Math" w:hAnsi="Cambria Math" w:cs="Times New Roman"/>
                <w:i/>
              </w:rPr>
            </m:ctrlPr>
          </m:sSubSupPr>
          <m:e>
            <m:r>
              <w:rPr>
                <w:rFonts w:ascii="Cambria Math" w:hAnsi="Cambria Math" w:cs="Times New Roman"/>
              </w:rPr>
              <m:t>w</m:t>
            </m:r>
          </m:e>
          <m:sub>
            <m:r>
              <w:rPr>
                <w:rFonts w:ascii="Cambria Math" w:hAnsi="Cambria Math" w:cs="Times New Roman"/>
              </w:rPr>
              <m:t>T</m:t>
            </m:r>
          </m:sub>
          <m:sup>
            <m:r>
              <w:rPr>
                <w:rFonts w:ascii="Cambria Math" w:hAnsi="Cambria Math" w:cs="Times New Roman"/>
              </w:rPr>
              <m:t>i</m:t>
            </m:r>
          </m:sup>
        </m:sSubSup>
        <m:r>
          <w:rPr>
            <w:rFonts w:ascii="Cambria Math" w:hAnsi="Cambria Math" w:cs="Times New Roman"/>
            <w:lang w:val="en-GB"/>
          </w:rPr>
          <m:t>- ∆</m:t>
        </m:r>
        <m:sSubSup>
          <m:sSubSupPr>
            <m:ctrlPr>
              <w:rPr>
                <w:rFonts w:ascii="Cambria Math" w:hAnsi="Cambria Math" w:cs="Times New Roman"/>
                <w:i/>
              </w:rPr>
            </m:ctrlPr>
          </m:sSubSupPr>
          <m:e>
            <m:r>
              <w:rPr>
                <w:rFonts w:ascii="Cambria Math" w:hAnsi="Cambria Math" w:cs="Times New Roman"/>
              </w:rPr>
              <m:t>q</m:t>
            </m:r>
          </m:e>
          <m:sub>
            <m:r>
              <w:rPr>
                <w:rFonts w:ascii="Cambria Math" w:hAnsi="Cambria Math" w:cs="Times New Roman"/>
              </w:rPr>
              <m:t>T</m:t>
            </m:r>
          </m:sub>
          <m:sup>
            <m:r>
              <w:rPr>
                <w:rFonts w:ascii="Cambria Math" w:hAnsi="Cambria Math" w:cs="Times New Roman"/>
              </w:rPr>
              <m:t>i</m:t>
            </m:r>
          </m:sup>
        </m:sSubSup>
      </m:oMath>
      <w:r w:rsidR="006B5CC2" w:rsidRPr="0008527F">
        <w:rPr>
          <w:rFonts w:ascii="Times New Roman" w:eastAsiaTheme="minorEastAsia" w:hAnsi="Times New Roman" w:cs="Times New Roman"/>
          <w:lang w:val="en-GB"/>
        </w:rPr>
        <w:t xml:space="preserve"> is the percentage unit labour cost</w:t>
      </w:r>
      <w:r w:rsidR="004D02D4">
        <w:rPr>
          <w:rFonts w:ascii="Times New Roman" w:eastAsiaTheme="minorEastAsia" w:hAnsi="Times New Roman" w:cs="Times New Roman"/>
          <w:lang w:val="en-GB"/>
        </w:rPr>
        <w:t xml:space="preserve"> change</w:t>
      </w:r>
      <w:r w:rsidR="006B5CC2" w:rsidRPr="0008527F">
        <w:rPr>
          <w:rFonts w:ascii="Times New Roman" w:eastAsiaTheme="minorEastAsia" w:hAnsi="Times New Roman" w:cs="Times New Roman"/>
          <w:lang w:val="en-GB"/>
        </w:rPr>
        <w:t>.</w:t>
      </w:r>
    </w:p>
  </w:footnote>
  <w:footnote w:id="20">
    <w:p w14:paraId="7B58DED3" w14:textId="68295528" w:rsidR="0033410A" w:rsidRPr="0021540E" w:rsidRDefault="0033410A" w:rsidP="0033410A">
      <w:pPr>
        <w:pStyle w:val="FootnoteText"/>
        <w:rPr>
          <w:lang w:val="en-GB"/>
        </w:rPr>
      </w:pPr>
      <w:r>
        <w:rPr>
          <w:rStyle w:val="FootnoteReference"/>
        </w:rPr>
        <w:footnoteRef/>
      </w:r>
      <w:r w:rsidRPr="0021540E">
        <w:rPr>
          <w:lang w:val="en-GB"/>
        </w:rPr>
        <w:t xml:space="preserve"> </w:t>
      </w:r>
      <w:r w:rsidR="00FC1896">
        <w:rPr>
          <w:rFonts w:ascii="Times New Roman" w:hAnsi="Times New Roman" w:cs="Times New Roman"/>
          <w:lang w:val="en-GB"/>
        </w:rPr>
        <w:t>It</w:t>
      </w:r>
      <w:r w:rsidRPr="0021540E">
        <w:rPr>
          <w:rFonts w:ascii="Times New Roman" w:hAnsi="Times New Roman" w:cs="Times New Roman"/>
          <w:lang w:val="en-GB"/>
        </w:rPr>
        <w:t xml:space="preserve"> does not matter for the comparison of changes in wage shares whether or not wage and price variables are measured in national currencies or in common currency.</w:t>
      </w:r>
    </w:p>
  </w:footnote>
  <w:footnote w:id="21">
    <w:p w14:paraId="7F6373A8" w14:textId="1D31D290" w:rsidR="00B80B3B" w:rsidRPr="00E74B13" w:rsidRDefault="00B80B3B">
      <w:pPr>
        <w:pStyle w:val="FootnoteText"/>
        <w:rPr>
          <w:rFonts w:ascii="Times New Roman" w:hAnsi="Times New Roman" w:cs="Times New Roman"/>
          <w:lang w:val="en-GB"/>
        </w:rPr>
      </w:pPr>
      <w:r w:rsidRPr="00E74B13">
        <w:rPr>
          <w:rStyle w:val="FootnoteReference"/>
          <w:rFonts w:ascii="Times New Roman" w:hAnsi="Times New Roman" w:cs="Times New Roman"/>
        </w:rPr>
        <w:footnoteRef/>
      </w:r>
      <w:r w:rsidRPr="00E74B13">
        <w:rPr>
          <w:rFonts w:ascii="Times New Roman" w:hAnsi="Times New Roman" w:cs="Times New Roman"/>
          <w:lang w:val="en-GB"/>
        </w:rPr>
        <w:t xml:space="preserve"> </w:t>
      </w:r>
      <w:r w:rsidR="00E74B13">
        <w:rPr>
          <w:rFonts w:ascii="Times New Roman" w:hAnsi="Times New Roman" w:cs="Times New Roman"/>
          <w:lang w:val="en-GB"/>
        </w:rPr>
        <w:t xml:space="preserve">In the Swedish discussion, </w:t>
      </w:r>
      <w:r w:rsidR="00F10A78">
        <w:rPr>
          <w:rFonts w:ascii="Times New Roman" w:hAnsi="Times New Roman" w:cs="Times New Roman"/>
          <w:lang w:val="en-GB"/>
        </w:rPr>
        <w:t xml:space="preserve">arguments have sometimes been made for a “European norm”, according </w:t>
      </w:r>
      <w:r w:rsidR="00E16276">
        <w:rPr>
          <w:rFonts w:ascii="Times New Roman" w:hAnsi="Times New Roman" w:cs="Times New Roman"/>
          <w:lang w:val="en-GB"/>
        </w:rPr>
        <w:t xml:space="preserve">to which Swedish wage costs should increase at the same pace as </w:t>
      </w:r>
      <w:r w:rsidR="00314478">
        <w:rPr>
          <w:rFonts w:ascii="Times New Roman" w:hAnsi="Times New Roman" w:cs="Times New Roman"/>
          <w:lang w:val="en-GB"/>
        </w:rPr>
        <w:t>wage costs in Europe</w:t>
      </w:r>
      <w:r w:rsidR="000E14F8">
        <w:rPr>
          <w:rFonts w:ascii="Times New Roman" w:hAnsi="Times New Roman" w:cs="Times New Roman"/>
          <w:lang w:val="en-GB"/>
        </w:rPr>
        <w:t xml:space="preserve"> (see Edingruppen, 1995, for the original proposal</w:t>
      </w:r>
      <w:r w:rsidR="000575D2">
        <w:rPr>
          <w:rFonts w:ascii="Times New Roman" w:hAnsi="Times New Roman" w:cs="Times New Roman"/>
          <w:lang w:val="en-GB"/>
        </w:rPr>
        <w:t>)</w:t>
      </w:r>
      <w:r w:rsidR="005A359C">
        <w:rPr>
          <w:rFonts w:ascii="Times New Roman" w:hAnsi="Times New Roman" w:cs="Times New Roman"/>
          <w:lang w:val="en-GB"/>
        </w:rPr>
        <w:t xml:space="preserve">. It has not always been clear whether the comparison </w:t>
      </w:r>
      <w:r w:rsidR="00717E34">
        <w:rPr>
          <w:rFonts w:ascii="Times New Roman" w:hAnsi="Times New Roman" w:cs="Times New Roman"/>
          <w:lang w:val="en-GB"/>
        </w:rPr>
        <w:t xml:space="preserve">should be made in national currencies or in common currency </w:t>
      </w:r>
      <w:r w:rsidR="005D70F0">
        <w:rPr>
          <w:rFonts w:ascii="Times New Roman" w:hAnsi="Times New Roman" w:cs="Times New Roman"/>
          <w:lang w:val="en-GB"/>
        </w:rPr>
        <w:t>and if the norm applies to wage costs or unit labour costs (see Gottfries</w:t>
      </w:r>
      <w:r w:rsidR="000575D2">
        <w:rPr>
          <w:rFonts w:ascii="Times New Roman" w:hAnsi="Times New Roman" w:cs="Times New Roman"/>
          <w:lang w:val="en-GB"/>
        </w:rPr>
        <w:t xml:space="preserve">, 2018 for a critique). </w:t>
      </w:r>
    </w:p>
  </w:footnote>
  <w:footnote w:id="22">
    <w:p w14:paraId="1ABF0735" w14:textId="512540E6" w:rsidR="009670BD" w:rsidRPr="004A21FA" w:rsidRDefault="009670BD">
      <w:pPr>
        <w:pStyle w:val="FootnoteText"/>
        <w:rPr>
          <w:rFonts w:ascii="Times New Roman" w:hAnsi="Times New Roman" w:cs="Times New Roman"/>
          <w:lang w:val="en-GB"/>
        </w:rPr>
      </w:pPr>
      <w:r w:rsidRPr="004A21FA">
        <w:rPr>
          <w:rStyle w:val="FootnoteReference"/>
          <w:rFonts w:ascii="Times New Roman" w:hAnsi="Times New Roman" w:cs="Times New Roman"/>
        </w:rPr>
        <w:footnoteRef/>
      </w:r>
      <w:r w:rsidRPr="004A21FA">
        <w:rPr>
          <w:rFonts w:ascii="Times New Roman" w:hAnsi="Times New Roman" w:cs="Times New Roman"/>
          <w:lang w:val="en-GB"/>
        </w:rPr>
        <w:t xml:space="preserve"> However, Gottfries (201</w:t>
      </w:r>
      <w:r w:rsidR="006A5F95" w:rsidRPr="004A21FA">
        <w:rPr>
          <w:rFonts w:ascii="Times New Roman" w:hAnsi="Times New Roman" w:cs="Times New Roman"/>
          <w:lang w:val="en-GB"/>
        </w:rPr>
        <w:t>0</w:t>
      </w:r>
      <w:r w:rsidRPr="004A21FA">
        <w:rPr>
          <w:rFonts w:ascii="Times New Roman" w:hAnsi="Times New Roman" w:cs="Times New Roman"/>
          <w:lang w:val="en-GB"/>
        </w:rPr>
        <w:t xml:space="preserve">) argues </w:t>
      </w:r>
      <w:r w:rsidR="001655C3" w:rsidRPr="004A21FA">
        <w:rPr>
          <w:rFonts w:ascii="Times New Roman" w:hAnsi="Times New Roman" w:cs="Times New Roman"/>
          <w:lang w:val="en-GB"/>
        </w:rPr>
        <w:t xml:space="preserve">that </w:t>
      </w:r>
      <w:r w:rsidR="00EC1D32" w:rsidRPr="004A21FA">
        <w:rPr>
          <w:rFonts w:ascii="Times New Roman" w:hAnsi="Times New Roman" w:cs="Times New Roman"/>
          <w:lang w:val="en-GB"/>
        </w:rPr>
        <w:t>the negative demand effects of hig</w:t>
      </w:r>
      <w:r w:rsidR="008D174A">
        <w:rPr>
          <w:rFonts w:ascii="Times New Roman" w:hAnsi="Times New Roman" w:cs="Times New Roman"/>
          <w:lang w:val="en-GB"/>
        </w:rPr>
        <w:t>her</w:t>
      </w:r>
      <w:r w:rsidR="006763C6" w:rsidRPr="004A21FA">
        <w:rPr>
          <w:rFonts w:ascii="Times New Roman" w:hAnsi="Times New Roman" w:cs="Times New Roman"/>
          <w:lang w:val="en-GB"/>
        </w:rPr>
        <w:t xml:space="preserve"> interest rates</w:t>
      </w:r>
      <w:r w:rsidR="001655C3" w:rsidRPr="004A21FA">
        <w:rPr>
          <w:rFonts w:ascii="Times New Roman" w:hAnsi="Times New Roman" w:cs="Times New Roman"/>
          <w:lang w:val="en-GB"/>
        </w:rPr>
        <w:t xml:space="preserve"> may take time </w:t>
      </w:r>
      <w:r w:rsidR="00773CDA" w:rsidRPr="004A21FA">
        <w:rPr>
          <w:rFonts w:ascii="Times New Roman" w:hAnsi="Times New Roman" w:cs="Times New Roman"/>
          <w:lang w:val="en-GB"/>
        </w:rPr>
        <w:t xml:space="preserve">to materialise and that demand </w:t>
      </w:r>
      <w:r w:rsidR="00030140" w:rsidRPr="004A21FA">
        <w:rPr>
          <w:rFonts w:ascii="Times New Roman" w:hAnsi="Times New Roman" w:cs="Times New Roman"/>
          <w:lang w:val="en-GB"/>
        </w:rPr>
        <w:t xml:space="preserve">for </w:t>
      </w:r>
      <w:r w:rsidR="008B3895">
        <w:rPr>
          <w:rFonts w:ascii="Times New Roman" w:hAnsi="Times New Roman" w:cs="Times New Roman"/>
          <w:lang w:val="en-GB"/>
        </w:rPr>
        <w:t>nontradables</w:t>
      </w:r>
      <w:r w:rsidR="00030140" w:rsidRPr="004A21FA">
        <w:rPr>
          <w:rFonts w:ascii="Times New Roman" w:hAnsi="Times New Roman" w:cs="Times New Roman"/>
          <w:lang w:val="en-GB"/>
        </w:rPr>
        <w:t xml:space="preserve"> is likely stimulated in the short run</w:t>
      </w:r>
      <w:r w:rsidR="006763C6" w:rsidRPr="004A21FA">
        <w:rPr>
          <w:rFonts w:ascii="Times New Roman" w:hAnsi="Times New Roman" w:cs="Times New Roman"/>
          <w:lang w:val="en-GB"/>
        </w:rPr>
        <w:t xml:space="preserve"> by hig</w:t>
      </w:r>
      <w:r w:rsidR="008D174A">
        <w:rPr>
          <w:rFonts w:ascii="Times New Roman" w:hAnsi="Times New Roman" w:cs="Times New Roman"/>
          <w:lang w:val="en-GB"/>
        </w:rPr>
        <w:t>her</w:t>
      </w:r>
      <w:r w:rsidR="00D3726B" w:rsidRPr="004A21FA">
        <w:rPr>
          <w:rFonts w:ascii="Times New Roman" w:hAnsi="Times New Roman" w:cs="Times New Roman"/>
          <w:lang w:val="en-GB"/>
        </w:rPr>
        <w:t xml:space="preserve"> real wage increases.</w:t>
      </w:r>
      <w:r w:rsidR="00030140" w:rsidRPr="004A21FA">
        <w:rPr>
          <w:rFonts w:ascii="Times New Roman" w:hAnsi="Times New Roman" w:cs="Times New Roman"/>
          <w:lang w:val="en-GB"/>
        </w:rPr>
        <w:t xml:space="preserve"> </w:t>
      </w:r>
    </w:p>
  </w:footnote>
  <w:footnote w:id="23">
    <w:p w14:paraId="4FE3A77B" w14:textId="4C40A3F4" w:rsidR="00A10F13" w:rsidRPr="004A21FA" w:rsidRDefault="00A10F13">
      <w:pPr>
        <w:pStyle w:val="FootnoteText"/>
        <w:rPr>
          <w:rFonts w:ascii="Times New Roman" w:hAnsi="Times New Roman" w:cs="Times New Roman"/>
          <w:lang w:val="en-GB"/>
        </w:rPr>
      </w:pPr>
      <w:r w:rsidRPr="004A21FA">
        <w:rPr>
          <w:rStyle w:val="FootnoteReference"/>
          <w:rFonts w:ascii="Times New Roman" w:hAnsi="Times New Roman" w:cs="Times New Roman"/>
        </w:rPr>
        <w:footnoteRef/>
      </w:r>
      <w:r w:rsidRPr="004A21FA">
        <w:rPr>
          <w:rFonts w:ascii="Times New Roman" w:hAnsi="Times New Roman" w:cs="Times New Roman"/>
          <w:lang w:val="en-GB"/>
        </w:rPr>
        <w:t xml:space="preserve"> </w:t>
      </w:r>
      <w:r w:rsidR="00DE4B07" w:rsidRPr="004A21FA">
        <w:rPr>
          <w:rFonts w:ascii="Times New Roman" w:hAnsi="Times New Roman" w:cs="Times New Roman"/>
          <w:lang w:val="en-GB"/>
        </w:rPr>
        <w:t xml:space="preserve">According to standard interest rate parity theory, an interest </w:t>
      </w:r>
      <w:r w:rsidR="00F13964" w:rsidRPr="004A21FA">
        <w:rPr>
          <w:rFonts w:ascii="Times New Roman" w:hAnsi="Times New Roman" w:cs="Times New Roman"/>
          <w:lang w:val="en-GB"/>
        </w:rPr>
        <w:t xml:space="preserve">hike causes the currency to appreciate relative to the expected future </w:t>
      </w:r>
      <w:r w:rsidR="007621EF" w:rsidRPr="004A21FA">
        <w:rPr>
          <w:rFonts w:ascii="Times New Roman" w:hAnsi="Times New Roman" w:cs="Times New Roman"/>
          <w:lang w:val="en-GB"/>
        </w:rPr>
        <w:t xml:space="preserve">exchange rate. But </w:t>
      </w:r>
      <w:r w:rsidR="00D91C6A">
        <w:rPr>
          <w:rFonts w:ascii="Times New Roman" w:hAnsi="Times New Roman" w:cs="Times New Roman"/>
          <w:lang w:val="en-GB"/>
        </w:rPr>
        <w:t>because</w:t>
      </w:r>
      <w:r w:rsidR="007621EF" w:rsidRPr="004A21FA">
        <w:rPr>
          <w:rFonts w:ascii="Times New Roman" w:hAnsi="Times New Roman" w:cs="Times New Roman"/>
          <w:lang w:val="en-GB"/>
        </w:rPr>
        <w:t xml:space="preserve"> inflation rai</w:t>
      </w:r>
      <w:r w:rsidR="00EB0B83" w:rsidRPr="004A21FA">
        <w:rPr>
          <w:rFonts w:ascii="Times New Roman" w:hAnsi="Times New Roman" w:cs="Times New Roman"/>
          <w:lang w:val="en-GB"/>
        </w:rPr>
        <w:t xml:space="preserve">ses the price level, the expected future </w:t>
      </w:r>
      <w:r w:rsidR="00A62B81" w:rsidRPr="004A21FA">
        <w:rPr>
          <w:rFonts w:ascii="Times New Roman" w:hAnsi="Times New Roman" w:cs="Times New Roman"/>
          <w:lang w:val="en-GB"/>
        </w:rPr>
        <w:t xml:space="preserve">exchange rate </w:t>
      </w:r>
      <w:r w:rsidR="00CF7662" w:rsidRPr="004A21FA">
        <w:rPr>
          <w:rFonts w:ascii="Times New Roman" w:hAnsi="Times New Roman" w:cs="Times New Roman"/>
          <w:lang w:val="en-GB"/>
        </w:rPr>
        <w:t xml:space="preserve">likely </w:t>
      </w:r>
      <w:r w:rsidR="00A31AEF" w:rsidRPr="004A21FA">
        <w:rPr>
          <w:rFonts w:ascii="Times New Roman" w:hAnsi="Times New Roman" w:cs="Times New Roman"/>
          <w:lang w:val="en-GB"/>
        </w:rPr>
        <w:t>depreciates</w:t>
      </w:r>
      <w:r w:rsidR="00521FB7" w:rsidRPr="004A21FA">
        <w:rPr>
          <w:rFonts w:ascii="Times New Roman" w:hAnsi="Times New Roman" w:cs="Times New Roman"/>
          <w:lang w:val="en-GB"/>
        </w:rPr>
        <w:t>.</w:t>
      </w:r>
      <w:r w:rsidR="00DE4B07" w:rsidRPr="004A21FA">
        <w:rPr>
          <w:rFonts w:ascii="Times New Roman" w:hAnsi="Times New Roman" w:cs="Times New Roman"/>
          <w:lang w:val="en-GB"/>
        </w:rPr>
        <w:t xml:space="preserve"> </w:t>
      </w:r>
    </w:p>
  </w:footnote>
  <w:footnote w:id="24">
    <w:p w14:paraId="7265A5A8" w14:textId="5242E67F" w:rsidR="00FB6ECA" w:rsidRPr="006D73A1" w:rsidRDefault="00FB6ECA">
      <w:pPr>
        <w:pStyle w:val="FootnoteText"/>
        <w:rPr>
          <w:rFonts w:ascii="Times New Roman" w:hAnsi="Times New Roman" w:cs="Times New Roman"/>
          <w:lang w:val="en-GB"/>
        </w:rPr>
      </w:pPr>
      <w:r w:rsidRPr="006D73A1">
        <w:rPr>
          <w:rStyle w:val="FootnoteReference"/>
          <w:rFonts w:ascii="Times New Roman" w:hAnsi="Times New Roman" w:cs="Times New Roman"/>
        </w:rPr>
        <w:footnoteRef/>
      </w:r>
      <w:r w:rsidRPr="006D73A1">
        <w:rPr>
          <w:rFonts w:ascii="Times New Roman" w:hAnsi="Times New Roman" w:cs="Times New Roman"/>
          <w:lang w:val="en-GB"/>
        </w:rPr>
        <w:t xml:space="preserve"> </w:t>
      </w:r>
      <w:r w:rsidR="000B216F" w:rsidRPr="006D73A1">
        <w:rPr>
          <w:rFonts w:ascii="Times New Roman" w:hAnsi="Times New Roman" w:cs="Times New Roman"/>
          <w:lang w:val="en-GB"/>
        </w:rPr>
        <w:t>Vartiainen (2010)</w:t>
      </w:r>
      <w:r w:rsidR="00977480" w:rsidRPr="006D73A1">
        <w:rPr>
          <w:rFonts w:ascii="Times New Roman" w:hAnsi="Times New Roman" w:cs="Times New Roman"/>
          <w:lang w:val="en-GB"/>
        </w:rPr>
        <w:t xml:space="preserve"> makes similar distinction</w:t>
      </w:r>
      <w:r w:rsidR="00517CB3">
        <w:rPr>
          <w:rFonts w:ascii="Times New Roman" w:hAnsi="Times New Roman" w:cs="Times New Roman"/>
          <w:lang w:val="en-GB"/>
        </w:rPr>
        <w:t>s</w:t>
      </w:r>
      <w:r w:rsidR="006D73A1">
        <w:rPr>
          <w:rFonts w:ascii="Times New Roman" w:hAnsi="Times New Roman" w:cs="Times New Roman"/>
          <w:lang w:val="en-GB"/>
        </w:rPr>
        <w:t>.</w:t>
      </w:r>
    </w:p>
  </w:footnote>
  <w:footnote w:id="25">
    <w:p w14:paraId="5A6FFA15" w14:textId="600CB883" w:rsidR="00B85C91" w:rsidRPr="00891DF8" w:rsidRDefault="00B85C91">
      <w:pPr>
        <w:pStyle w:val="FootnoteText"/>
        <w:rPr>
          <w:rFonts w:ascii="Times New Roman" w:hAnsi="Times New Roman" w:cs="Times New Roman"/>
          <w:lang w:val="en-GB"/>
        </w:rPr>
      </w:pPr>
      <w:r>
        <w:rPr>
          <w:rStyle w:val="FootnoteReference"/>
        </w:rPr>
        <w:footnoteRef/>
      </w:r>
      <w:r w:rsidRPr="00B85C91">
        <w:rPr>
          <w:lang w:val="en-GB"/>
        </w:rPr>
        <w:t xml:space="preserve"> </w:t>
      </w:r>
      <w:r w:rsidR="00C46D3E" w:rsidRPr="00891DF8">
        <w:rPr>
          <w:rFonts w:ascii="Times New Roman" w:hAnsi="Times New Roman" w:cs="Times New Roman"/>
          <w:lang w:val="en-GB"/>
        </w:rPr>
        <w:t>Krusell and Rudanko (2016)</w:t>
      </w:r>
      <w:r w:rsidR="00C46D3E">
        <w:rPr>
          <w:rFonts w:ascii="Times New Roman" w:hAnsi="Times New Roman" w:cs="Times New Roman"/>
          <w:lang w:val="en-GB"/>
        </w:rPr>
        <w:t xml:space="preserve"> is a</w:t>
      </w:r>
      <w:r w:rsidRPr="00891DF8">
        <w:rPr>
          <w:rFonts w:ascii="Times New Roman" w:hAnsi="Times New Roman" w:cs="Times New Roman"/>
          <w:lang w:val="en-GB"/>
        </w:rPr>
        <w:t xml:space="preserve"> recent paper </w:t>
      </w:r>
      <w:r w:rsidR="00406DE1" w:rsidRPr="00891DF8">
        <w:rPr>
          <w:rFonts w:ascii="Times New Roman" w:hAnsi="Times New Roman" w:cs="Times New Roman"/>
          <w:lang w:val="en-GB"/>
        </w:rPr>
        <w:t xml:space="preserve">stressing such hiring externalities. Calmfors (1993) </w:t>
      </w:r>
      <w:r w:rsidR="00891DF8" w:rsidRPr="00891DF8">
        <w:rPr>
          <w:rFonts w:ascii="Times New Roman" w:hAnsi="Times New Roman" w:cs="Times New Roman"/>
          <w:lang w:val="en-GB"/>
        </w:rPr>
        <w:t>survey</w:t>
      </w:r>
      <w:r w:rsidR="00DD10BC">
        <w:rPr>
          <w:rFonts w:ascii="Times New Roman" w:hAnsi="Times New Roman" w:cs="Times New Roman"/>
          <w:lang w:val="en-GB"/>
        </w:rPr>
        <w:t>s</w:t>
      </w:r>
      <w:r w:rsidR="00562905">
        <w:rPr>
          <w:rFonts w:ascii="Times New Roman" w:hAnsi="Times New Roman" w:cs="Times New Roman"/>
          <w:lang w:val="en-GB"/>
        </w:rPr>
        <w:t xml:space="preserve"> </w:t>
      </w:r>
      <w:r w:rsidR="002830BB">
        <w:rPr>
          <w:rFonts w:ascii="Times New Roman" w:hAnsi="Times New Roman" w:cs="Times New Roman"/>
          <w:lang w:val="en-GB"/>
        </w:rPr>
        <w:t xml:space="preserve">various </w:t>
      </w:r>
      <w:r w:rsidR="00891DF8" w:rsidRPr="00891DF8">
        <w:rPr>
          <w:rFonts w:ascii="Times New Roman" w:hAnsi="Times New Roman" w:cs="Times New Roman"/>
          <w:lang w:val="en-GB"/>
        </w:rPr>
        <w:t>externalities.</w:t>
      </w:r>
      <w:r w:rsidR="002830BB">
        <w:rPr>
          <w:rFonts w:ascii="Times New Roman" w:hAnsi="Times New Roman" w:cs="Times New Roman"/>
          <w:lang w:val="en-GB"/>
        </w:rPr>
        <w:t xml:space="preserve"> A positive </w:t>
      </w:r>
      <w:r w:rsidR="002617B6">
        <w:rPr>
          <w:rFonts w:ascii="Times New Roman" w:hAnsi="Times New Roman" w:cs="Times New Roman"/>
          <w:lang w:val="en-GB"/>
        </w:rPr>
        <w:t>demand externality arises if a wag</w:t>
      </w:r>
      <w:r w:rsidR="00D77FF8">
        <w:rPr>
          <w:rFonts w:ascii="Times New Roman" w:hAnsi="Times New Roman" w:cs="Times New Roman"/>
          <w:lang w:val="en-GB"/>
        </w:rPr>
        <w:t>e</w:t>
      </w:r>
      <w:r w:rsidR="002617B6">
        <w:rPr>
          <w:rFonts w:ascii="Times New Roman" w:hAnsi="Times New Roman" w:cs="Times New Roman"/>
          <w:lang w:val="en-GB"/>
        </w:rPr>
        <w:t xml:space="preserve"> </w:t>
      </w:r>
      <w:r w:rsidR="00562905">
        <w:rPr>
          <w:rFonts w:ascii="Times New Roman" w:hAnsi="Times New Roman" w:cs="Times New Roman"/>
          <w:lang w:val="en-GB"/>
        </w:rPr>
        <w:t>increase</w:t>
      </w:r>
      <w:r w:rsidR="002617B6">
        <w:rPr>
          <w:rFonts w:ascii="Times New Roman" w:hAnsi="Times New Roman" w:cs="Times New Roman"/>
          <w:lang w:val="en-GB"/>
        </w:rPr>
        <w:t xml:space="preserve"> </w:t>
      </w:r>
      <w:r w:rsidR="00D77FF8">
        <w:rPr>
          <w:rFonts w:ascii="Times New Roman" w:hAnsi="Times New Roman" w:cs="Times New Roman"/>
          <w:lang w:val="en-GB"/>
        </w:rPr>
        <w:t>in one part of the economy</w:t>
      </w:r>
      <w:r w:rsidR="002617B6">
        <w:rPr>
          <w:rFonts w:ascii="Times New Roman" w:hAnsi="Times New Roman" w:cs="Times New Roman"/>
          <w:lang w:val="en-GB"/>
        </w:rPr>
        <w:t xml:space="preserve"> causes higher </w:t>
      </w:r>
      <w:r w:rsidR="00D77FF8">
        <w:rPr>
          <w:rFonts w:ascii="Times New Roman" w:hAnsi="Times New Roman" w:cs="Times New Roman"/>
          <w:lang w:val="en-GB"/>
        </w:rPr>
        <w:t>demand in another part</w:t>
      </w:r>
      <w:r w:rsidR="00853B51">
        <w:rPr>
          <w:rFonts w:ascii="Times New Roman" w:hAnsi="Times New Roman" w:cs="Times New Roman"/>
          <w:lang w:val="en-GB"/>
        </w:rPr>
        <w:t xml:space="preserve"> because the </w:t>
      </w:r>
      <w:r w:rsidR="005C6314">
        <w:rPr>
          <w:rFonts w:ascii="Times New Roman" w:hAnsi="Times New Roman" w:cs="Times New Roman"/>
          <w:lang w:val="en-GB"/>
        </w:rPr>
        <w:t xml:space="preserve">goods </w:t>
      </w:r>
      <w:r w:rsidR="00853B51">
        <w:rPr>
          <w:rFonts w:ascii="Times New Roman" w:hAnsi="Times New Roman" w:cs="Times New Roman"/>
          <w:lang w:val="en-GB"/>
        </w:rPr>
        <w:t xml:space="preserve">produced are substitutes. </w:t>
      </w:r>
      <w:r w:rsidR="008762EC">
        <w:rPr>
          <w:rFonts w:ascii="Times New Roman" w:hAnsi="Times New Roman" w:cs="Times New Roman"/>
          <w:lang w:val="en-GB"/>
        </w:rPr>
        <w:t xml:space="preserve">Calmfors and Driffill (1988) argue that this is the case for different firms in the same industry. </w:t>
      </w:r>
      <w:r w:rsidR="005C6314">
        <w:rPr>
          <w:rFonts w:ascii="Times New Roman" w:hAnsi="Times New Roman" w:cs="Times New Roman"/>
          <w:lang w:val="en-GB"/>
        </w:rPr>
        <w:t>Hence,</w:t>
      </w:r>
      <w:r w:rsidR="003F319F">
        <w:rPr>
          <w:rFonts w:ascii="Times New Roman" w:hAnsi="Times New Roman" w:cs="Times New Roman"/>
          <w:lang w:val="en-GB"/>
        </w:rPr>
        <w:t xml:space="preserve"> industry-level bargaining may imply higher wages than firm-level bargaining</w:t>
      </w:r>
      <w:r w:rsidR="009A7DE8">
        <w:rPr>
          <w:rFonts w:ascii="Times New Roman" w:hAnsi="Times New Roman" w:cs="Times New Roman"/>
          <w:lang w:val="en-GB"/>
        </w:rPr>
        <w:t>.</w:t>
      </w:r>
    </w:p>
  </w:footnote>
  <w:footnote w:id="26">
    <w:p w14:paraId="167832E5" w14:textId="7BC7E482" w:rsidR="003B17EB" w:rsidRPr="003B17EB" w:rsidRDefault="003B17EB">
      <w:pPr>
        <w:pStyle w:val="FootnoteText"/>
        <w:rPr>
          <w:rFonts w:ascii="Times New Roman" w:hAnsi="Times New Roman" w:cs="Times New Roman"/>
          <w:lang w:val="en-GB"/>
        </w:rPr>
      </w:pPr>
      <w:r>
        <w:rPr>
          <w:rStyle w:val="FootnoteReference"/>
        </w:rPr>
        <w:footnoteRef/>
      </w:r>
      <w:r w:rsidRPr="003B17EB">
        <w:rPr>
          <w:lang w:val="en-GB"/>
        </w:rPr>
        <w:t xml:space="preserve"> </w:t>
      </w:r>
      <w:r w:rsidRPr="003B17EB">
        <w:rPr>
          <w:rFonts w:ascii="Times New Roman" w:hAnsi="Times New Roman" w:cs="Times New Roman"/>
          <w:lang w:val="en-GB"/>
        </w:rPr>
        <w:t>This externality is</w:t>
      </w:r>
      <w:r w:rsidR="00507B3B">
        <w:rPr>
          <w:rFonts w:ascii="Times New Roman" w:hAnsi="Times New Roman" w:cs="Times New Roman"/>
          <w:lang w:val="en-GB"/>
        </w:rPr>
        <w:t xml:space="preserve"> fully</w:t>
      </w:r>
      <w:r w:rsidRPr="003B17EB">
        <w:rPr>
          <w:rFonts w:ascii="Times New Roman" w:hAnsi="Times New Roman" w:cs="Times New Roman"/>
          <w:lang w:val="en-GB"/>
        </w:rPr>
        <w:t xml:space="preserve"> internalised by centralised bargaining at the national level only with a national currency but </w:t>
      </w:r>
      <w:r w:rsidR="00507B3B">
        <w:rPr>
          <w:rFonts w:ascii="Times New Roman" w:hAnsi="Times New Roman" w:cs="Times New Roman"/>
          <w:lang w:val="en-GB"/>
        </w:rPr>
        <w:t>only to a very small extent</w:t>
      </w:r>
      <w:r w:rsidRPr="003B17EB">
        <w:rPr>
          <w:rFonts w:ascii="Times New Roman" w:hAnsi="Times New Roman" w:cs="Times New Roman"/>
          <w:lang w:val="en-GB"/>
        </w:rPr>
        <w:t xml:space="preserve"> in a monetary union</w:t>
      </w:r>
      <w:r>
        <w:rPr>
          <w:rFonts w:ascii="Times New Roman" w:hAnsi="Times New Roman" w:cs="Times New Roman"/>
          <w:lang w:val="en-GB"/>
        </w:rPr>
        <w:t xml:space="preserve"> </w:t>
      </w:r>
      <w:r w:rsidR="00E834DD">
        <w:rPr>
          <w:rFonts w:ascii="Times New Roman" w:hAnsi="Times New Roman" w:cs="Times New Roman"/>
          <w:lang w:val="en-GB"/>
        </w:rPr>
        <w:t>because</w:t>
      </w:r>
      <w:r>
        <w:rPr>
          <w:rFonts w:ascii="Times New Roman" w:hAnsi="Times New Roman" w:cs="Times New Roman"/>
          <w:lang w:val="en-GB"/>
        </w:rPr>
        <w:t xml:space="preserve"> </w:t>
      </w:r>
      <w:r w:rsidR="00083338">
        <w:rPr>
          <w:rFonts w:ascii="Times New Roman" w:hAnsi="Times New Roman" w:cs="Times New Roman"/>
          <w:lang w:val="en-GB"/>
        </w:rPr>
        <w:t xml:space="preserve">monetary </w:t>
      </w:r>
      <w:r>
        <w:rPr>
          <w:rFonts w:ascii="Times New Roman" w:hAnsi="Times New Roman" w:cs="Times New Roman"/>
          <w:lang w:val="en-GB"/>
        </w:rPr>
        <w:t>policy is</w:t>
      </w:r>
      <w:r w:rsidR="00B200A3">
        <w:rPr>
          <w:rFonts w:ascii="Times New Roman" w:hAnsi="Times New Roman" w:cs="Times New Roman"/>
          <w:lang w:val="en-GB"/>
        </w:rPr>
        <w:t xml:space="preserve"> then</w:t>
      </w:r>
      <w:r>
        <w:rPr>
          <w:rFonts w:ascii="Times New Roman" w:hAnsi="Times New Roman" w:cs="Times New Roman"/>
          <w:lang w:val="en-GB"/>
        </w:rPr>
        <w:t xml:space="preserve"> </w:t>
      </w:r>
      <w:r w:rsidR="00D86501">
        <w:rPr>
          <w:rFonts w:ascii="Times New Roman" w:hAnsi="Times New Roman" w:cs="Times New Roman"/>
          <w:lang w:val="en-GB"/>
        </w:rPr>
        <w:t xml:space="preserve">pursued </w:t>
      </w:r>
      <w:r>
        <w:rPr>
          <w:rFonts w:ascii="Times New Roman" w:hAnsi="Times New Roman" w:cs="Times New Roman"/>
          <w:lang w:val="en-GB"/>
        </w:rPr>
        <w:t>by a common central bank</w:t>
      </w:r>
      <w:r w:rsidR="00E834DD">
        <w:rPr>
          <w:rFonts w:ascii="Times New Roman" w:hAnsi="Times New Roman" w:cs="Times New Roman"/>
          <w:lang w:val="en-GB"/>
        </w:rPr>
        <w:t xml:space="preserve"> which responds to union-wide inflation.</w:t>
      </w:r>
    </w:p>
  </w:footnote>
  <w:footnote w:id="27">
    <w:p w14:paraId="7A61AF7D" w14:textId="4AC376D1" w:rsidR="00DA0764" w:rsidRPr="00242777" w:rsidRDefault="00DA0764">
      <w:pPr>
        <w:pStyle w:val="FootnoteText"/>
        <w:rPr>
          <w:rFonts w:ascii="Times New Roman" w:hAnsi="Times New Roman" w:cs="Times New Roman"/>
          <w:lang w:val="en-GB"/>
        </w:rPr>
      </w:pPr>
      <w:r>
        <w:rPr>
          <w:rStyle w:val="FootnoteReference"/>
        </w:rPr>
        <w:footnoteRef/>
      </w:r>
      <w:r w:rsidRPr="009308DE">
        <w:rPr>
          <w:lang w:val="en-GB"/>
        </w:rPr>
        <w:t xml:space="preserve"> </w:t>
      </w:r>
      <w:r w:rsidR="009308DE" w:rsidRPr="00242777">
        <w:rPr>
          <w:rFonts w:ascii="Times New Roman" w:hAnsi="Times New Roman" w:cs="Times New Roman"/>
          <w:lang w:val="en-GB"/>
        </w:rPr>
        <w:t>Hol</w:t>
      </w:r>
      <w:r w:rsidR="00213C2D" w:rsidRPr="00242777">
        <w:rPr>
          <w:rFonts w:ascii="Times New Roman" w:hAnsi="Times New Roman" w:cs="Times New Roman"/>
          <w:lang w:val="en-GB"/>
        </w:rPr>
        <w:t>d</w:t>
      </w:r>
      <w:r w:rsidR="009308DE" w:rsidRPr="00242777">
        <w:rPr>
          <w:rFonts w:ascii="Times New Roman" w:hAnsi="Times New Roman" w:cs="Times New Roman"/>
          <w:lang w:val="en-GB"/>
        </w:rPr>
        <w:t>en IV-utvalget (2023) is one example.</w:t>
      </w:r>
      <w:r w:rsidR="007022FB" w:rsidRPr="00242777">
        <w:rPr>
          <w:rFonts w:ascii="Times New Roman" w:hAnsi="Times New Roman" w:cs="Times New Roman"/>
          <w:lang w:val="en-GB"/>
        </w:rPr>
        <w:t xml:space="preserve"> </w:t>
      </w:r>
      <w:r w:rsidR="00D05E71">
        <w:rPr>
          <w:rFonts w:ascii="Times New Roman" w:hAnsi="Times New Roman" w:cs="Times New Roman"/>
          <w:lang w:val="en-GB"/>
        </w:rPr>
        <w:t>Another is Bhuller et al. (2022)</w:t>
      </w:r>
      <w:r w:rsidR="00D6208E">
        <w:rPr>
          <w:rFonts w:ascii="Times New Roman" w:hAnsi="Times New Roman" w:cs="Times New Roman"/>
          <w:lang w:val="en-GB"/>
        </w:rPr>
        <w:t xml:space="preserve"> who make</w:t>
      </w:r>
      <w:r w:rsidR="00152E74">
        <w:rPr>
          <w:rFonts w:ascii="Times New Roman" w:hAnsi="Times New Roman" w:cs="Times New Roman"/>
          <w:lang w:val="en-GB"/>
        </w:rPr>
        <w:t xml:space="preserve"> no clear distinction between coordinated bargaining, implying internalisation of externalities, and pattern bargaining.  </w:t>
      </w:r>
      <w:r w:rsidR="00213C2D" w:rsidRPr="00242777">
        <w:rPr>
          <w:rFonts w:ascii="Times New Roman" w:hAnsi="Times New Roman" w:cs="Times New Roman"/>
          <w:lang w:val="en-GB"/>
        </w:rPr>
        <w:t>Barth et al. (2023)</w:t>
      </w:r>
      <w:r w:rsidR="00F95E67">
        <w:rPr>
          <w:rFonts w:ascii="Times New Roman" w:hAnsi="Times New Roman" w:cs="Times New Roman"/>
          <w:lang w:val="en-GB"/>
        </w:rPr>
        <w:t xml:space="preserve"> </w:t>
      </w:r>
      <w:r w:rsidR="00FA66BC" w:rsidRPr="00242777">
        <w:rPr>
          <w:rFonts w:ascii="Times New Roman" w:hAnsi="Times New Roman" w:cs="Times New Roman"/>
          <w:lang w:val="en-GB"/>
        </w:rPr>
        <w:t xml:space="preserve">find that </w:t>
      </w:r>
      <w:r w:rsidR="00307BEC" w:rsidRPr="00242777">
        <w:rPr>
          <w:rFonts w:ascii="Times New Roman" w:hAnsi="Times New Roman" w:cs="Times New Roman"/>
          <w:lang w:val="en-GB"/>
        </w:rPr>
        <w:t xml:space="preserve">increased import competition from </w:t>
      </w:r>
      <w:r w:rsidR="00D9097A" w:rsidRPr="00242777">
        <w:rPr>
          <w:rFonts w:ascii="Times New Roman" w:hAnsi="Times New Roman" w:cs="Times New Roman"/>
          <w:lang w:val="en-GB"/>
        </w:rPr>
        <w:t xml:space="preserve">China </w:t>
      </w:r>
      <w:r w:rsidR="005F4FBF" w:rsidRPr="00242777">
        <w:rPr>
          <w:rFonts w:ascii="Times New Roman" w:hAnsi="Times New Roman" w:cs="Times New Roman"/>
          <w:lang w:val="en-GB"/>
        </w:rPr>
        <w:t xml:space="preserve">caused decreases in manufacturing employment in </w:t>
      </w:r>
      <w:r w:rsidR="00ED19EB" w:rsidRPr="00242777">
        <w:rPr>
          <w:rFonts w:ascii="Times New Roman" w:hAnsi="Times New Roman" w:cs="Times New Roman"/>
          <w:lang w:val="en-GB"/>
        </w:rPr>
        <w:t xml:space="preserve">European </w:t>
      </w:r>
      <w:r w:rsidR="005F4FBF" w:rsidRPr="00242777">
        <w:rPr>
          <w:rFonts w:ascii="Times New Roman" w:hAnsi="Times New Roman" w:cs="Times New Roman"/>
          <w:lang w:val="en-GB"/>
        </w:rPr>
        <w:t>countries with</w:t>
      </w:r>
      <w:r w:rsidR="00E010AB" w:rsidRPr="00242777">
        <w:rPr>
          <w:rFonts w:ascii="Times New Roman" w:hAnsi="Times New Roman" w:cs="Times New Roman"/>
          <w:lang w:val="en-GB"/>
        </w:rPr>
        <w:t xml:space="preserve"> low wage coordination but not in countries with </w:t>
      </w:r>
      <w:r w:rsidR="00C26B90" w:rsidRPr="00242777">
        <w:rPr>
          <w:rFonts w:ascii="Times New Roman" w:hAnsi="Times New Roman" w:cs="Times New Roman"/>
          <w:lang w:val="en-GB"/>
        </w:rPr>
        <w:t>pattern setting by the tradables sector</w:t>
      </w:r>
      <w:r w:rsidR="00CB4954" w:rsidRPr="00242777">
        <w:rPr>
          <w:rFonts w:ascii="Times New Roman" w:hAnsi="Times New Roman" w:cs="Times New Roman"/>
          <w:lang w:val="en-GB"/>
        </w:rPr>
        <w:t>. This is explained by more wage restraint in the non-tradables sector</w:t>
      </w:r>
      <w:r w:rsidR="006F611F" w:rsidRPr="00242777">
        <w:rPr>
          <w:rFonts w:ascii="Times New Roman" w:hAnsi="Times New Roman" w:cs="Times New Roman"/>
          <w:lang w:val="en-GB"/>
        </w:rPr>
        <w:t xml:space="preserve"> in the latter </w:t>
      </w:r>
      <w:r w:rsidR="00B04788" w:rsidRPr="00242777">
        <w:rPr>
          <w:rFonts w:ascii="Times New Roman" w:hAnsi="Times New Roman" w:cs="Times New Roman"/>
          <w:lang w:val="en-GB"/>
        </w:rPr>
        <w:t>countries</w:t>
      </w:r>
      <w:r w:rsidR="003910FF" w:rsidRPr="00242777">
        <w:rPr>
          <w:rFonts w:ascii="Times New Roman" w:hAnsi="Times New Roman" w:cs="Times New Roman"/>
          <w:lang w:val="en-GB"/>
        </w:rPr>
        <w:t>, holding down input prices of the tradables sector</w:t>
      </w:r>
      <w:r w:rsidR="003422E0">
        <w:rPr>
          <w:rFonts w:ascii="Times New Roman" w:hAnsi="Times New Roman" w:cs="Times New Roman"/>
          <w:lang w:val="en-GB"/>
        </w:rPr>
        <w:t>, because of internalisation of externalities.</w:t>
      </w:r>
    </w:p>
  </w:footnote>
  <w:footnote w:id="28">
    <w:p w14:paraId="5E9B99A9" w14:textId="6FFA88B5" w:rsidR="00160FC7" w:rsidRPr="00160FC7" w:rsidRDefault="00160FC7">
      <w:pPr>
        <w:pStyle w:val="FootnoteText"/>
        <w:rPr>
          <w:lang w:val="en-GB"/>
        </w:rPr>
      </w:pPr>
      <w:r>
        <w:rPr>
          <w:rStyle w:val="FootnoteReference"/>
        </w:rPr>
        <w:footnoteRef/>
      </w:r>
      <w:r w:rsidRPr="00160FC7">
        <w:rPr>
          <w:lang w:val="en-GB"/>
        </w:rPr>
        <w:t xml:space="preserve"> </w:t>
      </w:r>
      <w:r w:rsidRPr="00664FA9">
        <w:rPr>
          <w:rFonts w:ascii="Times New Roman" w:hAnsi="Times New Roman" w:cs="Times New Roman"/>
          <w:lang w:val="en-GB"/>
        </w:rPr>
        <w:t>According to the OECD’s terminology</w:t>
      </w:r>
      <w:r w:rsidR="00376503" w:rsidRPr="00664FA9">
        <w:rPr>
          <w:rFonts w:ascii="Times New Roman" w:hAnsi="Times New Roman" w:cs="Times New Roman"/>
          <w:lang w:val="en-GB"/>
        </w:rPr>
        <w:t>, the degree of centralisation refers to the level of bargaining</w:t>
      </w:r>
      <w:r w:rsidR="00201DF9" w:rsidRPr="00664FA9">
        <w:rPr>
          <w:rFonts w:ascii="Times New Roman" w:hAnsi="Times New Roman" w:cs="Times New Roman"/>
          <w:lang w:val="en-GB"/>
        </w:rPr>
        <w:t xml:space="preserve"> in </w:t>
      </w:r>
      <w:r w:rsidR="006253A3">
        <w:rPr>
          <w:rFonts w:ascii="Times New Roman" w:hAnsi="Times New Roman" w:cs="Times New Roman"/>
          <w:lang w:val="en-GB"/>
        </w:rPr>
        <w:t xml:space="preserve">each </w:t>
      </w:r>
      <w:r w:rsidR="000A5A51">
        <w:rPr>
          <w:rFonts w:ascii="Times New Roman" w:hAnsi="Times New Roman" w:cs="Times New Roman"/>
          <w:lang w:val="en-GB"/>
        </w:rPr>
        <w:t>p</w:t>
      </w:r>
      <w:r w:rsidR="006253A3">
        <w:rPr>
          <w:rFonts w:ascii="Times New Roman" w:hAnsi="Times New Roman" w:cs="Times New Roman"/>
          <w:lang w:val="en-GB"/>
        </w:rPr>
        <w:t>art</w:t>
      </w:r>
      <w:r w:rsidR="009B52FC" w:rsidRPr="00664FA9">
        <w:rPr>
          <w:rFonts w:ascii="Times New Roman" w:hAnsi="Times New Roman" w:cs="Times New Roman"/>
          <w:lang w:val="en-GB"/>
        </w:rPr>
        <w:t xml:space="preserve"> of the economy</w:t>
      </w:r>
      <w:r w:rsidR="00E96206" w:rsidRPr="00664FA9">
        <w:rPr>
          <w:rFonts w:ascii="Times New Roman" w:hAnsi="Times New Roman" w:cs="Times New Roman"/>
          <w:lang w:val="en-GB"/>
        </w:rPr>
        <w:t xml:space="preserve"> but </w:t>
      </w:r>
      <w:r w:rsidR="009B52FC" w:rsidRPr="00664FA9">
        <w:rPr>
          <w:rFonts w:ascii="Times New Roman" w:hAnsi="Times New Roman" w:cs="Times New Roman"/>
          <w:lang w:val="en-GB"/>
        </w:rPr>
        <w:t>may</w:t>
      </w:r>
      <w:r w:rsidR="00E96206" w:rsidRPr="00664FA9">
        <w:rPr>
          <w:rFonts w:ascii="Times New Roman" w:hAnsi="Times New Roman" w:cs="Times New Roman"/>
          <w:lang w:val="en-GB"/>
        </w:rPr>
        <w:t xml:space="preserve"> i</w:t>
      </w:r>
      <w:r w:rsidR="00201DF9" w:rsidRPr="00664FA9">
        <w:rPr>
          <w:rFonts w:ascii="Times New Roman" w:hAnsi="Times New Roman" w:cs="Times New Roman"/>
          <w:lang w:val="en-GB"/>
        </w:rPr>
        <w:t>mply</w:t>
      </w:r>
      <w:r w:rsidR="00E96206" w:rsidRPr="00664FA9">
        <w:rPr>
          <w:rFonts w:ascii="Times New Roman" w:hAnsi="Times New Roman" w:cs="Times New Roman"/>
          <w:lang w:val="en-GB"/>
        </w:rPr>
        <w:t xml:space="preserve"> different degrees of coordination </w:t>
      </w:r>
      <w:r w:rsidR="000A5A51">
        <w:rPr>
          <w:rFonts w:ascii="Times New Roman" w:hAnsi="Times New Roman" w:cs="Times New Roman"/>
          <w:lang w:val="en-GB"/>
        </w:rPr>
        <w:t>wit</w:t>
      </w:r>
      <w:r w:rsidR="00D06F34">
        <w:rPr>
          <w:rFonts w:ascii="Times New Roman" w:hAnsi="Times New Roman" w:cs="Times New Roman"/>
          <w:lang w:val="en-GB"/>
        </w:rPr>
        <w:t>h other parts.</w:t>
      </w:r>
      <w:r w:rsidR="00697AB4" w:rsidRPr="00664FA9">
        <w:rPr>
          <w:rFonts w:ascii="Times New Roman" w:hAnsi="Times New Roman" w:cs="Times New Roman"/>
          <w:lang w:val="en-GB"/>
        </w:rPr>
        <w:t xml:space="preserve"> </w:t>
      </w:r>
    </w:p>
  </w:footnote>
  <w:footnote w:id="29">
    <w:p w14:paraId="6B3E7BD4" w14:textId="0F852A7B" w:rsidR="003E2D69" w:rsidRPr="00BA7B8F" w:rsidRDefault="003E2D69">
      <w:pPr>
        <w:pStyle w:val="FootnoteText"/>
        <w:rPr>
          <w:rFonts w:ascii="Times New Roman" w:hAnsi="Times New Roman" w:cs="Times New Roman"/>
          <w:lang w:val="en-GB"/>
        </w:rPr>
      </w:pPr>
      <w:r>
        <w:rPr>
          <w:rStyle w:val="FootnoteReference"/>
        </w:rPr>
        <w:footnoteRef/>
      </w:r>
      <w:r w:rsidRPr="003E2D69">
        <w:rPr>
          <w:lang w:val="en-GB"/>
        </w:rPr>
        <w:t xml:space="preserve"> </w:t>
      </w:r>
      <w:r w:rsidRPr="00BA7B8F">
        <w:rPr>
          <w:rFonts w:ascii="Times New Roman" w:hAnsi="Times New Roman" w:cs="Times New Roman"/>
          <w:lang w:val="en-GB"/>
        </w:rPr>
        <w:t xml:space="preserve">Like </w:t>
      </w:r>
      <w:r w:rsidR="0062182D" w:rsidRPr="00BA7B8F">
        <w:rPr>
          <w:rFonts w:ascii="Times New Roman" w:hAnsi="Times New Roman" w:cs="Times New Roman"/>
          <w:lang w:val="en-GB"/>
        </w:rPr>
        <w:t>in most DSGE m</w:t>
      </w:r>
      <w:r w:rsidR="006C3168" w:rsidRPr="00BA7B8F">
        <w:rPr>
          <w:rFonts w:ascii="Times New Roman" w:hAnsi="Times New Roman" w:cs="Times New Roman"/>
          <w:lang w:val="en-GB"/>
        </w:rPr>
        <w:t xml:space="preserve">odels, </w:t>
      </w:r>
      <w:r w:rsidR="00D72F72" w:rsidRPr="00BA7B8F">
        <w:rPr>
          <w:rFonts w:ascii="Times New Roman" w:hAnsi="Times New Roman" w:cs="Times New Roman"/>
          <w:lang w:val="en-GB"/>
        </w:rPr>
        <w:t xml:space="preserve">changes in employment take the form </w:t>
      </w:r>
      <w:r w:rsidR="00FC2BEF" w:rsidRPr="00BA7B8F">
        <w:rPr>
          <w:rFonts w:ascii="Times New Roman" w:hAnsi="Times New Roman" w:cs="Times New Roman"/>
          <w:lang w:val="en-GB"/>
        </w:rPr>
        <w:t xml:space="preserve">of changes in </w:t>
      </w:r>
      <w:r w:rsidR="00E75309" w:rsidRPr="00BA7B8F">
        <w:rPr>
          <w:rFonts w:ascii="Times New Roman" w:hAnsi="Times New Roman" w:cs="Times New Roman"/>
          <w:lang w:val="en-GB"/>
        </w:rPr>
        <w:t>a</w:t>
      </w:r>
      <w:r w:rsidR="00FC2BEF" w:rsidRPr="00BA7B8F">
        <w:rPr>
          <w:rFonts w:ascii="Times New Roman" w:hAnsi="Times New Roman" w:cs="Times New Roman"/>
          <w:lang w:val="en-GB"/>
        </w:rPr>
        <w:t xml:space="preserve"> </w:t>
      </w:r>
      <w:r w:rsidR="00405B9F" w:rsidRPr="00BA7B8F">
        <w:rPr>
          <w:rFonts w:ascii="Times New Roman" w:hAnsi="Times New Roman" w:cs="Times New Roman"/>
          <w:lang w:val="en-GB"/>
        </w:rPr>
        <w:t xml:space="preserve">representative worker’s </w:t>
      </w:r>
      <w:r w:rsidR="00E75309" w:rsidRPr="00BA7B8F">
        <w:rPr>
          <w:rFonts w:ascii="Times New Roman" w:hAnsi="Times New Roman" w:cs="Times New Roman"/>
          <w:lang w:val="en-GB"/>
        </w:rPr>
        <w:t>amount of work, not in the number of employed persons</w:t>
      </w:r>
      <w:r w:rsidR="001208F7" w:rsidRPr="00BA7B8F">
        <w:rPr>
          <w:rFonts w:ascii="Times New Roman" w:hAnsi="Times New Roman" w:cs="Times New Roman"/>
          <w:lang w:val="en-GB"/>
        </w:rPr>
        <w:t>.</w:t>
      </w:r>
    </w:p>
  </w:footnote>
  <w:footnote w:id="30">
    <w:p w14:paraId="23F2A079" w14:textId="7809B3AC" w:rsidR="009B56CD" w:rsidRPr="009B56CD" w:rsidRDefault="009B56CD">
      <w:pPr>
        <w:pStyle w:val="FootnoteText"/>
        <w:rPr>
          <w:lang w:val="en-GB"/>
        </w:rPr>
      </w:pPr>
      <w:r>
        <w:rPr>
          <w:rStyle w:val="FootnoteReference"/>
        </w:rPr>
        <w:footnoteRef/>
      </w:r>
      <w:r w:rsidRPr="009B56CD">
        <w:rPr>
          <w:lang w:val="en-GB"/>
        </w:rPr>
        <w:t xml:space="preserve"> </w:t>
      </w:r>
      <w:r w:rsidRPr="002F4B8A">
        <w:rPr>
          <w:rFonts w:ascii="Times New Roman" w:hAnsi="Times New Roman" w:cs="Times New Roman"/>
          <w:lang w:val="en-GB"/>
        </w:rPr>
        <w:t xml:space="preserve">This follows from market clearing for nontradables and the assumption that </w:t>
      </w:r>
      <w:r w:rsidR="002F4B8A" w:rsidRPr="002F4B8A">
        <w:rPr>
          <w:rFonts w:ascii="Times New Roman" w:hAnsi="Times New Roman" w:cs="Times New Roman"/>
          <w:lang w:val="en-GB"/>
        </w:rPr>
        <w:t>all income is spent.</w:t>
      </w:r>
    </w:p>
  </w:footnote>
  <w:footnote w:id="31">
    <w:p w14:paraId="70933D81" w14:textId="34A8FB84" w:rsidR="0019094E" w:rsidRPr="003F6519" w:rsidRDefault="0019094E">
      <w:pPr>
        <w:pStyle w:val="FootnoteText"/>
        <w:rPr>
          <w:rFonts w:ascii="Times New Roman" w:hAnsi="Times New Roman" w:cs="Times New Roman"/>
          <w:lang w:val="en-GB"/>
        </w:rPr>
      </w:pPr>
      <w:r>
        <w:rPr>
          <w:rStyle w:val="FootnoteReference"/>
        </w:rPr>
        <w:footnoteRef/>
      </w:r>
      <w:r w:rsidRPr="0019094E">
        <w:rPr>
          <w:lang w:val="en-GB"/>
        </w:rPr>
        <w:t xml:space="preserve"> </w:t>
      </w:r>
      <w:r w:rsidRPr="003F6519">
        <w:rPr>
          <w:rFonts w:ascii="Times New Roman" w:hAnsi="Times New Roman" w:cs="Times New Roman"/>
          <w:lang w:val="en-GB"/>
        </w:rPr>
        <w:t xml:space="preserve">Let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oMath>
      <w:r w:rsidRPr="003F6519">
        <w:rPr>
          <w:rFonts w:ascii="Times New Roman" w:eastAsiaTheme="minorEastAsia" w:hAnsi="Times New Roman" w:cs="Times New Roman"/>
          <w:lang w:val="en-GB"/>
        </w:rPr>
        <w:t xml:space="preserve"> be the price of tradables,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oMath>
      <w:r w:rsidRPr="003F6519">
        <w:rPr>
          <w:rFonts w:ascii="Times New Roman" w:eastAsiaTheme="minorEastAsia" w:hAnsi="Times New Roman" w:cs="Times New Roman"/>
          <w:lang w:val="en-GB"/>
        </w:rPr>
        <w:t xml:space="preserve"> the price of nontradables, </w:t>
      </w:r>
      <m:oMath>
        <m:r>
          <w:rPr>
            <w:rFonts w:ascii="Cambria Math" w:hAnsi="Cambria Math" w:cs="Times New Roman"/>
          </w:rPr>
          <m:t>P</m:t>
        </m:r>
      </m:oMath>
      <w:r w:rsidR="00295A29" w:rsidRPr="003F6519">
        <w:rPr>
          <w:rFonts w:ascii="Times New Roman" w:eastAsiaTheme="minorEastAsia" w:hAnsi="Times New Roman" w:cs="Times New Roman"/>
          <w:lang w:val="en-GB"/>
        </w:rPr>
        <w:t xml:space="preserve"> the CPI</w:t>
      </w:r>
      <w:r w:rsidR="00B36663" w:rsidRPr="003F6519">
        <w:rPr>
          <w:rFonts w:ascii="Times New Roman" w:eastAsiaTheme="minorEastAsia" w:hAnsi="Times New Roman" w:cs="Times New Roman"/>
          <w:lang w:val="en-GB"/>
        </w:rPr>
        <w:t xml:space="preserve">, and </w:t>
      </w:r>
      <m:oMath>
        <m:r>
          <w:rPr>
            <w:rFonts w:ascii="Cambria Math" w:hAnsi="Cambria Math" w:cs="Times New Roman"/>
          </w:rPr>
          <m:t>c</m:t>
        </m:r>
      </m:oMath>
      <w:r w:rsidR="00030573" w:rsidRPr="003F6519">
        <w:rPr>
          <w:rFonts w:ascii="Times New Roman" w:eastAsiaTheme="minorEastAsia" w:hAnsi="Times New Roman" w:cs="Times New Roman"/>
          <w:lang w:val="en-GB"/>
        </w:rPr>
        <w:t xml:space="preserve"> and </w:t>
      </w:r>
      <m:oMath>
        <m:r>
          <w:rPr>
            <w:rFonts w:ascii="Cambria Math" w:hAnsi="Cambria Math" w:cs="Times New Roman"/>
          </w:rPr>
          <m:t>k</m:t>
        </m:r>
      </m:oMath>
      <w:r w:rsidR="00030573" w:rsidRPr="003F6519">
        <w:rPr>
          <w:rFonts w:ascii="Times New Roman" w:eastAsiaTheme="minorEastAsia" w:hAnsi="Times New Roman" w:cs="Times New Roman"/>
          <w:lang w:val="en-GB"/>
        </w:rPr>
        <w:t xml:space="preserve"> constants. </w:t>
      </w:r>
      <w:r w:rsidR="002159A3" w:rsidRPr="003F6519">
        <w:rPr>
          <w:rFonts w:ascii="Times New Roman" w:eastAsiaTheme="minorEastAsia" w:hAnsi="Times New Roman" w:cs="Times New Roman"/>
          <w:lang w:val="en-GB"/>
        </w:rPr>
        <w:t xml:space="preserve">If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hAnsi="Cambria Math" w:cs="Times New Roman"/>
            <w:lang w:val="en-GB"/>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r>
          <w:rPr>
            <w:rFonts w:ascii="Cambria Math" w:hAnsi="Cambria Math" w:cs="Times New Roman"/>
            <w:lang w:val="en-GB"/>
          </w:rPr>
          <m:t>=</m:t>
        </m:r>
        <m:r>
          <w:rPr>
            <w:rFonts w:ascii="Cambria Math" w:hAnsi="Cambria Math" w:cs="Times New Roman"/>
          </w:rPr>
          <m:t>k</m:t>
        </m:r>
      </m:oMath>
      <w:r w:rsidR="0037058B" w:rsidRPr="003F6519">
        <w:rPr>
          <w:rFonts w:ascii="Times New Roman" w:eastAsiaTheme="minorEastAsia" w:hAnsi="Times New Roman" w:cs="Times New Roman"/>
          <w:lang w:val="en-GB"/>
        </w:rPr>
        <w:t xml:space="preserve"> </w:t>
      </w:r>
      <w:r w:rsidR="0086547B" w:rsidRPr="003F6519">
        <w:rPr>
          <w:rFonts w:ascii="Times New Roman" w:eastAsiaTheme="minorEastAsia" w:hAnsi="Times New Roman" w:cs="Times New Roman"/>
          <w:lang w:val="en-GB"/>
        </w:rPr>
        <w:t>a</w:t>
      </w:r>
      <w:r w:rsidR="00736A63" w:rsidRPr="003F6519">
        <w:rPr>
          <w:rFonts w:ascii="Times New Roman" w:eastAsiaTheme="minorEastAsia" w:hAnsi="Times New Roman" w:cs="Times New Roman"/>
          <w:lang w:val="en-GB"/>
        </w:rPr>
        <w:t xml:space="preserve">nd </w:t>
      </w:r>
      <m:oMath>
        <m:r>
          <w:rPr>
            <w:rFonts w:ascii="Cambria Math" w:hAnsi="Cambria Math" w:cs="Times New Roman"/>
          </w:rPr>
          <m:t>P</m:t>
        </m:r>
        <m:r>
          <w:rPr>
            <w:rFonts w:ascii="Cambria Math" w:hAnsi="Cambria Math" w:cs="Times New Roman"/>
            <w:lang w:val="en-GB"/>
          </w:rPr>
          <m:t>=</m:t>
        </m:r>
        <m:r>
          <w:rPr>
            <w:rFonts w:ascii="Cambria Math" w:hAnsi="Cambria Math" w:cs="Times New Roman"/>
          </w:rPr>
          <m:t>P</m:t>
        </m:r>
        <m:r>
          <w:rPr>
            <w:rFonts w:ascii="Cambria Math" w:hAnsi="Cambria Math" w:cs="Times New Roman"/>
            <w:lang w:val="en-GB"/>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oMath>
      <w:r w:rsidR="001F2BC0" w:rsidRPr="003F6519">
        <w:rPr>
          <w:rFonts w:ascii="Times New Roman" w:eastAsiaTheme="minorEastAsia" w:hAnsi="Times New Roman" w:cs="Times New Roman"/>
          <w:lang w:val="en-GB"/>
        </w:rPr>
        <w:t xml:space="preserv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r>
          <w:rPr>
            <w:rFonts w:ascii="Cambria Math" w:hAnsi="Cambria Math" w:cs="Times New Roman"/>
            <w:lang w:val="en-GB"/>
          </w:rPr>
          <m:t>)=c</m:t>
        </m:r>
      </m:oMath>
      <w:r w:rsidR="00C5009A" w:rsidRPr="003F6519">
        <w:rPr>
          <w:rFonts w:ascii="Times New Roman" w:eastAsiaTheme="minorEastAsia" w:hAnsi="Times New Roman" w:cs="Times New Roman"/>
          <w:lang w:val="en-GB"/>
        </w:rPr>
        <w:t>, it follows that</w:t>
      </w:r>
      <w:r w:rsidR="003A646D" w:rsidRPr="003F6519">
        <w:rPr>
          <w:rFonts w:ascii="Times New Roman" w:eastAsiaTheme="minorEastAsia" w:hAnsi="Times New Roman" w:cs="Times New Roman"/>
          <w:lang w:val="en-GB"/>
        </w:rPr>
        <w:t xml:space="preserve"> both</w:t>
      </w:r>
      <w:r w:rsidR="00B45B12" w:rsidRPr="003F6519">
        <w:rPr>
          <w:rFonts w:ascii="Times New Roman" w:eastAsiaTheme="minorEastAsia" w:hAnsi="Times New Roman" w:cs="Times New Roman"/>
          <w:lang w:val="en-GB"/>
        </w:rPr>
        <w:t xml:space="preserv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oMath>
      <w:r w:rsidR="00B45B12" w:rsidRPr="003F6519">
        <w:rPr>
          <w:rFonts w:ascii="Times New Roman" w:eastAsiaTheme="minorEastAsia" w:hAnsi="Times New Roman" w:cs="Times New Roman"/>
          <w:lang w:val="en-GB"/>
        </w:rPr>
        <w:t xml:space="preserve"> and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oMath>
      <w:r w:rsidR="00B45B12" w:rsidRPr="003F6519">
        <w:rPr>
          <w:rFonts w:ascii="Times New Roman" w:eastAsiaTheme="minorEastAsia" w:hAnsi="Times New Roman" w:cs="Times New Roman"/>
          <w:lang w:val="en-GB"/>
        </w:rPr>
        <w:t xml:space="preserve"> must stay constant </w:t>
      </w:r>
      <w:r w:rsidR="0057263A" w:rsidRPr="003F6519">
        <w:rPr>
          <w:rFonts w:ascii="Times New Roman" w:eastAsiaTheme="minorEastAsia" w:hAnsi="Times New Roman" w:cs="Times New Roman"/>
          <w:lang w:val="en-GB"/>
        </w:rPr>
        <w:t xml:space="preserve">since then </w:t>
      </w:r>
      <m:oMath>
        <m:r>
          <w:rPr>
            <w:rFonts w:ascii="Cambria Math" w:hAnsi="Cambria Math" w:cs="Times New Roman"/>
            <w:lang w:val="en-GB"/>
          </w:rPr>
          <m:t>P=</m:t>
        </m:r>
        <m:r>
          <w:rPr>
            <w:rFonts w:ascii="Cambria Math" w:hAnsi="Cambria Math" w:cs="Times New Roman"/>
          </w:rPr>
          <m:t>P</m:t>
        </m:r>
        <m:r>
          <w:rPr>
            <w:rFonts w:ascii="Cambria Math" w:hAnsi="Cambria Math" w:cs="Times New Roman"/>
            <w:lang w:val="en-GB"/>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oMath>
      <w:r w:rsidR="0057263A" w:rsidRPr="003F6519">
        <w:rPr>
          <w:rFonts w:ascii="Times New Roman" w:eastAsiaTheme="minorEastAsia" w:hAnsi="Times New Roman" w:cs="Times New Roman"/>
          <w:lang w:val="en-GB"/>
        </w:rPr>
        <w:t xml:space="preserv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r>
          <w:rPr>
            <w:rFonts w:ascii="Cambria Math" w:hAnsi="Cambria Math" w:cs="Times New Roman"/>
            <w:lang w:val="en-GB"/>
          </w:rPr>
          <m:t>)=P</m:t>
        </m:r>
        <m:d>
          <m:dPr>
            <m:ctrlPr>
              <w:rPr>
                <w:rFonts w:ascii="Cambria Math" w:hAnsi="Cambria Math" w:cs="Times New Roman"/>
                <w:i/>
                <w:lang w:val="en-GB"/>
              </w:rPr>
            </m:ctrlPr>
          </m:dPr>
          <m:e>
            <m:r>
              <w:rPr>
                <w:rFonts w:ascii="Cambria Math" w:hAnsi="Cambria Math" w:cs="Times New Roman"/>
                <w:lang w:val="en-GB"/>
              </w:rPr>
              <m:t>k</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r>
              <w:rPr>
                <w:rFonts w:ascii="Cambria Math" w:hAnsi="Cambria Math" w:cs="Times New Roman"/>
                <w:lang w:val="en-GB"/>
              </w:rPr>
              <m:t xml:space="preserve">,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ctrlPr>
              <w:rPr>
                <w:rFonts w:ascii="Cambria Math" w:hAnsi="Cambria Math" w:cs="Times New Roman"/>
                <w:i/>
              </w:rPr>
            </m:ctrlPr>
          </m:e>
        </m:d>
        <m:r>
          <w:rPr>
            <w:rFonts w:ascii="Cambria Math" w:hAnsi="Cambria Math" w:cs="Times New Roman"/>
            <w:lang w:val="en-GB"/>
          </w:rPr>
          <m:t>=</m:t>
        </m:r>
        <m:r>
          <w:rPr>
            <w:rFonts w:ascii="Cambria Math" w:hAnsi="Cambria Math" w:cs="Times New Roman"/>
          </w:rPr>
          <m:t>P</m:t>
        </m:r>
        <m:r>
          <w:rPr>
            <w:rFonts w:ascii="Cambria Math" w:hAnsi="Cambria Math" w:cs="Times New Roman"/>
            <w:lang w:val="en-GB"/>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hAnsi="Cambria Math" w:cs="Times New Roman"/>
            <w:lang w:val="en-GB"/>
          </w:rPr>
          <m:t xml:space="preserve">,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hAnsi="Cambria Math" w:cs="Times New Roman"/>
            <w:lang w:val="en-GB"/>
          </w:rPr>
          <m:t>/</m:t>
        </m:r>
        <m:r>
          <w:rPr>
            <w:rFonts w:ascii="Cambria Math" w:hAnsi="Cambria Math" w:cs="Times New Roman"/>
          </w:rPr>
          <m:t>k</m:t>
        </m:r>
        <m:r>
          <w:rPr>
            <w:rFonts w:ascii="Cambria Math" w:hAnsi="Cambria Math" w:cs="Times New Roman"/>
            <w:lang w:val="en-GB"/>
          </w:rPr>
          <m:t>)=</m:t>
        </m:r>
        <m:r>
          <w:rPr>
            <w:rFonts w:ascii="Cambria Math" w:hAnsi="Cambria Math" w:cs="Times New Roman"/>
          </w:rPr>
          <m:t>c</m:t>
        </m:r>
        <m:r>
          <w:rPr>
            <w:rFonts w:ascii="Cambria Math" w:hAnsi="Cambria Math" w:cs="Times New Roman"/>
            <w:lang w:val="en-GB"/>
          </w:rPr>
          <m:t>.</m:t>
        </m:r>
      </m:oMath>
      <w:r w:rsidR="0057263A" w:rsidRPr="003F6519">
        <w:rPr>
          <w:rFonts w:ascii="Times New Roman" w:eastAsiaTheme="minorEastAsia" w:hAnsi="Times New Roman" w:cs="Times New Roman"/>
          <w:lang w:val="en-GB"/>
        </w:rPr>
        <w:t xml:space="preserve"> </w:t>
      </w:r>
    </w:p>
  </w:footnote>
  <w:footnote w:id="32">
    <w:p w14:paraId="7E211180" w14:textId="4D7FE529" w:rsidR="00876F1F" w:rsidRPr="00876F1F" w:rsidRDefault="00876F1F">
      <w:pPr>
        <w:pStyle w:val="FootnoteText"/>
        <w:rPr>
          <w:lang w:val="en-GB"/>
        </w:rPr>
      </w:pPr>
      <w:r>
        <w:rPr>
          <w:rStyle w:val="FootnoteReference"/>
        </w:rPr>
        <w:footnoteRef/>
      </w:r>
      <w:r w:rsidRPr="00876F1F">
        <w:rPr>
          <w:lang w:val="en-GB"/>
        </w:rPr>
        <w:t xml:space="preserve"> </w:t>
      </w:r>
      <w:r w:rsidR="00931482" w:rsidRPr="00232299">
        <w:rPr>
          <w:rFonts w:ascii="Times New Roman" w:hAnsi="Times New Roman" w:cs="Times New Roman"/>
          <w:lang w:val="en-GB"/>
        </w:rPr>
        <w:t>This is in line</w:t>
      </w:r>
      <w:r w:rsidR="004438D4" w:rsidRPr="00232299">
        <w:rPr>
          <w:rFonts w:ascii="Times New Roman" w:hAnsi="Times New Roman" w:cs="Times New Roman"/>
          <w:lang w:val="en-GB"/>
        </w:rPr>
        <w:t xml:space="preserve"> with various assessments</w:t>
      </w:r>
      <w:r w:rsidR="00F8276F" w:rsidRPr="00232299">
        <w:rPr>
          <w:rFonts w:ascii="Times New Roman" w:hAnsi="Times New Roman" w:cs="Times New Roman"/>
          <w:lang w:val="en-GB"/>
        </w:rPr>
        <w:t xml:space="preserve">. For example, Sagelvmo et al. (2023) </w:t>
      </w:r>
      <w:r w:rsidR="00152916" w:rsidRPr="00232299">
        <w:rPr>
          <w:rFonts w:ascii="Times New Roman" w:hAnsi="Times New Roman" w:cs="Times New Roman"/>
          <w:lang w:val="en-GB"/>
        </w:rPr>
        <w:t>report that</w:t>
      </w:r>
      <w:r w:rsidR="001F7C3B" w:rsidRPr="00232299">
        <w:rPr>
          <w:rFonts w:ascii="Times New Roman" w:hAnsi="Times New Roman" w:cs="Times New Roman"/>
          <w:lang w:val="en-GB"/>
        </w:rPr>
        <w:t xml:space="preserve"> </w:t>
      </w:r>
      <w:r w:rsidR="00232299" w:rsidRPr="00232299">
        <w:rPr>
          <w:rFonts w:ascii="Times New Roman" w:hAnsi="Times New Roman" w:cs="Times New Roman"/>
          <w:lang w:val="en-GB"/>
        </w:rPr>
        <w:t xml:space="preserve">the tradables sector according to their classification accounts for </w:t>
      </w:r>
      <w:r w:rsidR="00152916" w:rsidRPr="00232299">
        <w:rPr>
          <w:rFonts w:ascii="Times New Roman" w:hAnsi="Times New Roman" w:cs="Times New Roman"/>
          <w:lang w:val="en-GB"/>
        </w:rPr>
        <w:t>30</w:t>
      </w:r>
      <w:r w:rsidR="001F7C3B" w:rsidRPr="00232299">
        <w:rPr>
          <w:rFonts w:ascii="Times New Roman" w:hAnsi="Times New Roman" w:cs="Times New Roman"/>
          <w:lang w:val="en-GB"/>
        </w:rPr>
        <w:t>%</w:t>
      </w:r>
      <w:r w:rsidR="00152916" w:rsidRPr="00232299">
        <w:rPr>
          <w:rFonts w:ascii="Times New Roman" w:hAnsi="Times New Roman" w:cs="Times New Roman"/>
          <w:lang w:val="en-GB"/>
        </w:rPr>
        <w:t xml:space="preserve"> of GDP and 14</w:t>
      </w:r>
      <w:r w:rsidR="001F7C3B" w:rsidRPr="00232299">
        <w:rPr>
          <w:rFonts w:ascii="Times New Roman" w:hAnsi="Times New Roman" w:cs="Times New Roman"/>
          <w:lang w:val="en-GB"/>
        </w:rPr>
        <w:t>% of employment</w:t>
      </w:r>
      <w:r w:rsidR="00931482" w:rsidRPr="00232299">
        <w:rPr>
          <w:rFonts w:ascii="Times New Roman" w:hAnsi="Times New Roman" w:cs="Times New Roman"/>
          <w:lang w:val="en-GB"/>
        </w:rPr>
        <w:t xml:space="preserve"> </w:t>
      </w:r>
      <w:r w:rsidR="00232299" w:rsidRPr="00232299">
        <w:rPr>
          <w:rFonts w:ascii="Times New Roman" w:hAnsi="Times New Roman" w:cs="Times New Roman"/>
          <w:lang w:val="en-GB"/>
        </w:rPr>
        <w:t>in Norway.</w:t>
      </w:r>
    </w:p>
  </w:footnote>
  <w:footnote w:id="33">
    <w:p w14:paraId="7AD0A4FD" w14:textId="22EB4F0E" w:rsidR="00E52544" w:rsidRPr="00E52544" w:rsidRDefault="00E52544">
      <w:pPr>
        <w:pStyle w:val="FootnoteText"/>
        <w:rPr>
          <w:lang w:val="en-GB"/>
        </w:rPr>
      </w:pPr>
      <w:r>
        <w:rPr>
          <w:rStyle w:val="FootnoteReference"/>
        </w:rPr>
        <w:footnoteRef/>
      </w:r>
      <w:r w:rsidRPr="00E52544">
        <w:rPr>
          <w:lang w:val="en-GB"/>
        </w:rPr>
        <w:t xml:space="preserve"> </w:t>
      </w:r>
      <w:r w:rsidRPr="00F573C2">
        <w:rPr>
          <w:rFonts w:ascii="Times New Roman" w:hAnsi="Times New Roman" w:cs="Times New Roman"/>
          <w:lang w:val="en-GB"/>
        </w:rPr>
        <w:t xml:space="preserve">Calmfors (2021) </w:t>
      </w:r>
      <w:r w:rsidR="000E754F">
        <w:rPr>
          <w:rFonts w:ascii="Times New Roman" w:hAnsi="Times New Roman" w:cs="Times New Roman"/>
          <w:lang w:val="en-GB"/>
        </w:rPr>
        <w:t>reports conversations</w:t>
      </w:r>
      <w:r w:rsidRPr="00F573C2">
        <w:rPr>
          <w:rFonts w:ascii="Times New Roman" w:hAnsi="Times New Roman" w:cs="Times New Roman"/>
          <w:lang w:val="en-GB"/>
        </w:rPr>
        <w:t xml:space="preserve"> with seasoned </w:t>
      </w:r>
      <w:r w:rsidR="00B63ED7" w:rsidRPr="00F573C2">
        <w:rPr>
          <w:rFonts w:ascii="Times New Roman" w:hAnsi="Times New Roman" w:cs="Times New Roman"/>
          <w:lang w:val="en-GB"/>
        </w:rPr>
        <w:t xml:space="preserve">Swedish </w:t>
      </w:r>
      <w:r w:rsidRPr="00F573C2">
        <w:rPr>
          <w:rFonts w:ascii="Times New Roman" w:hAnsi="Times New Roman" w:cs="Times New Roman"/>
          <w:lang w:val="en-GB"/>
        </w:rPr>
        <w:t xml:space="preserve">wage bargainers </w:t>
      </w:r>
      <w:r w:rsidR="00B63ED7" w:rsidRPr="00F573C2">
        <w:rPr>
          <w:rFonts w:ascii="Times New Roman" w:hAnsi="Times New Roman" w:cs="Times New Roman"/>
          <w:lang w:val="en-GB"/>
        </w:rPr>
        <w:t>(</w:t>
      </w:r>
      <w:r w:rsidR="008C28AC" w:rsidRPr="00F573C2">
        <w:rPr>
          <w:rFonts w:ascii="Times New Roman" w:hAnsi="Times New Roman" w:cs="Times New Roman"/>
          <w:lang w:val="en-GB"/>
        </w:rPr>
        <w:t xml:space="preserve">in </w:t>
      </w:r>
      <w:r w:rsidR="00B63ED7" w:rsidRPr="00F573C2">
        <w:rPr>
          <w:rFonts w:ascii="Times New Roman" w:hAnsi="Times New Roman" w:cs="Times New Roman"/>
          <w:lang w:val="en-GB"/>
        </w:rPr>
        <w:t>nontradables and public sectors)</w:t>
      </w:r>
      <w:r w:rsidR="008C28AC" w:rsidRPr="00F573C2">
        <w:rPr>
          <w:rFonts w:ascii="Times New Roman" w:hAnsi="Times New Roman" w:cs="Times New Roman"/>
          <w:lang w:val="en-GB"/>
        </w:rPr>
        <w:t xml:space="preserve"> </w:t>
      </w:r>
      <w:r w:rsidR="00731A30" w:rsidRPr="00F573C2">
        <w:rPr>
          <w:rFonts w:ascii="Times New Roman" w:hAnsi="Times New Roman" w:cs="Times New Roman"/>
          <w:lang w:val="en-GB"/>
        </w:rPr>
        <w:t xml:space="preserve">falling into tears </w:t>
      </w:r>
      <w:r w:rsidR="008C28AC" w:rsidRPr="00F573C2">
        <w:rPr>
          <w:rFonts w:ascii="Times New Roman" w:hAnsi="Times New Roman" w:cs="Times New Roman"/>
          <w:lang w:val="en-GB"/>
        </w:rPr>
        <w:t>when describin</w:t>
      </w:r>
      <w:r w:rsidR="00B63ED7" w:rsidRPr="00F573C2">
        <w:rPr>
          <w:rFonts w:ascii="Times New Roman" w:hAnsi="Times New Roman" w:cs="Times New Roman"/>
          <w:lang w:val="en-GB"/>
        </w:rPr>
        <w:t xml:space="preserve">g how they were </w:t>
      </w:r>
      <w:r w:rsidR="005A6D2B" w:rsidRPr="00F573C2">
        <w:rPr>
          <w:rFonts w:ascii="Times New Roman" w:hAnsi="Times New Roman" w:cs="Times New Roman"/>
          <w:lang w:val="en-GB"/>
        </w:rPr>
        <w:t>bullied</w:t>
      </w:r>
      <w:r w:rsidR="00455DD3" w:rsidRPr="00F573C2">
        <w:rPr>
          <w:rFonts w:ascii="Times New Roman" w:hAnsi="Times New Roman" w:cs="Times New Roman"/>
          <w:lang w:val="en-GB"/>
        </w:rPr>
        <w:t xml:space="preserve"> by their peers in the tradables sector when trying to deviate from </w:t>
      </w:r>
      <w:r w:rsidR="002F5C10">
        <w:rPr>
          <w:rFonts w:ascii="Times New Roman" w:hAnsi="Times New Roman" w:cs="Times New Roman"/>
          <w:lang w:val="en-GB"/>
        </w:rPr>
        <w:t>the</w:t>
      </w:r>
      <w:r w:rsidR="00D53B51" w:rsidRPr="00F573C2">
        <w:rPr>
          <w:rFonts w:ascii="Times New Roman" w:hAnsi="Times New Roman" w:cs="Times New Roman"/>
          <w:lang w:val="en-GB"/>
        </w:rPr>
        <w:t xml:space="preserve"> wage norm.</w:t>
      </w:r>
    </w:p>
  </w:footnote>
  <w:footnote w:id="34">
    <w:p w14:paraId="107890A8" w14:textId="2EF258DC" w:rsidR="005928E7" w:rsidRPr="005928E7" w:rsidRDefault="005928E7">
      <w:pPr>
        <w:pStyle w:val="FootnoteText"/>
        <w:rPr>
          <w:lang w:val="en-GB"/>
        </w:rPr>
      </w:pPr>
      <w:r>
        <w:rPr>
          <w:rStyle w:val="FootnoteReference"/>
        </w:rPr>
        <w:footnoteRef/>
      </w:r>
      <w:r w:rsidR="008C373A">
        <w:rPr>
          <w:lang w:val="en-GB"/>
        </w:rPr>
        <w:t xml:space="preserve"> </w:t>
      </w:r>
      <w:r w:rsidR="008C373A" w:rsidRPr="008C373A">
        <w:rPr>
          <w:rFonts w:ascii="Times New Roman" w:hAnsi="Times New Roman" w:cs="Times New Roman"/>
          <w:lang w:val="en-GB"/>
        </w:rPr>
        <w:t xml:space="preserve">Then the marginal utility of </w:t>
      </w:r>
      <w:r w:rsidR="00BC22E1">
        <w:rPr>
          <w:rFonts w:ascii="Times New Roman" w:hAnsi="Times New Roman" w:cs="Times New Roman"/>
          <w:lang w:val="en-GB"/>
        </w:rPr>
        <w:t>the wage</w:t>
      </w:r>
      <w:r w:rsidR="008C373A" w:rsidRPr="008C373A">
        <w:rPr>
          <w:rFonts w:ascii="Times New Roman" w:hAnsi="Times New Roman" w:cs="Times New Roman"/>
          <w:lang w:val="en-GB"/>
        </w:rPr>
        <w:t xml:space="preserve"> in the follower sector is larger when the wage is immediately below than immediately above that in the leader sector</w:t>
      </w:r>
      <w:r w:rsidR="008C373A">
        <w:rPr>
          <w:rFonts w:ascii="Times New Roman" w:hAnsi="Times New Roman" w:cs="Times New Roman"/>
          <w:sz w:val="24"/>
          <w:szCs w:val="24"/>
          <w:lang w:val="en-GB"/>
        </w:rPr>
        <w:t xml:space="preserve">. </w:t>
      </w:r>
      <w:r w:rsidRPr="00AF2805">
        <w:rPr>
          <w:rFonts w:ascii="Times New Roman" w:hAnsi="Times New Roman" w:cs="Times New Roman"/>
          <w:lang w:val="en-GB"/>
        </w:rPr>
        <w:t xml:space="preserve">In technical terms, </w:t>
      </w:r>
      <w:r w:rsidR="006C70D1">
        <w:rPr>
          <w:rFonts w:ascii="Times New Roman" w:hAnsi="Times New Roman" w:cs="Times New Roman"/>
          <w:lang w:val="en-GB"/>
        </w:rPr>
        <w:t xml:space="preserve">the Stackelberg equilibria </w:t>
      </w:r>
      <w:r w:rsidR="008B2E44">
        <w:rPr>
          <w:rFonts w:ascii="Times New Roman" w:hAnsi="Times New Roman" w:cs="Times New Roman"/>
          <w:lang w:val="en-GB"/>
        </w:rPr>
        <w:t xml:space="preserve">may entail </w:t>
      </w:r>
      <w:r w:rsidRPr="00AF2805">
        <w:rPr>
          <w:rFonts w:ascii="Times New Roman" w:hAnsi="Times New Roman" w:cs="Times New Roman"/>
          <w:lang w:val="en-GB"/>
        </w:rPr>
        <w:t xml:space="preserve">corner solutions where </w:t>
      </w:r>
      <w:r w:rsidR="00AF2805" w:rsidRPr="00AF2805">
        <w:rPr>
          <w:rFonts w:ascii="Times New Roman" w:hAnsi="Times New Roman" w:cs="Times New Roman"/>
          <w:lang w:val="en-GB"/>
        </w:rPr>
        <w:t xml:space="preserve">the marginal utility of the </w:t>
      </w:r>
      <w:r w:rsidR="000636B6">
        <w:rPr>
          <w:rFonts w:ascii="Times New Roman" w:hAnsi="Times New Roman" w:cs="Times New Roman"/>
          <w:lang w:val="en-GB"/>
        </w:rPr>
        <w:t xml:space="preserve">follower’s </w:t>
      </w:r>
      <w:r w:rsidR="00AF2805" w:rsidRPr="00AF2805">
        <w:rPr>
          <w:rFonts w:ascii="Times New Roman" w:hAnsi="Times New Roman" w:cs="Times New Roman"/>
          <w:lang w:val="en-GB"/>
        </w:rPr>
        <w:t xml:space="preserve">wage is not zero as in a </w:t>
      </w:r>
      <w:r w:rsidR="00AF2805">
        <w:rPr>
          <w:rFonts w:ascii="Times New Roman" w:hAnsi="Times New Roman" w:cs="Times New Roman"/>
          <w:lang w:val="en-GB"/>
        </w:rPr>
        <w:t>standard</w:t>
      </w:r>
      <w:r w:rsidR="00AF2805" w:rsidRPr="00AF2805">
        <w:rPr>
          <w:rFonts w:ascii="Times New Roman" w:hAnsi="Times New Roman" w:cs="Times New Roman"/>
          <w:lang w:val="en-GB"/>
        </w:rPr>
        <w:t xml:space="preserve"> interior solution but positive immediately below the chosen wage and negative immediately above</w:t>
      </w:r>
      <w:r w:rsidR="00AF2805">
        <w:rPr>
          <w:lang w:val="en-GB"/>
        </w:rPr>
        <w:t xml:space="preserve">. </w:t>
      </w:r>
    </w:p>
  </w:footnote>
  <w:footnote w:id="35">
    <w:p w14:paraId="13A0F9DC" w14:textId="22F0A157" w:rsidR="008E7423" w:rsidRPr="008E7423" w:rsidRDefault="008E7423">
      <w:pPr>
        <w:pStyle w:val="FootnoteText"/>
        <w:rPr>
          <w:rFonts w:ascii="Times New Roman" w:hAnsi="Times New Roman" w:cs="Times New Roman"/>
          <w:lang w:val="en-GB"/>
        </w:rPr>
      </w:pPr>
      <w:r w:rsidRPr="00BC597F">
        <w:rPr>
          <w:rStyle w:val="FootnoteReference"/>
          <w:rFonts w:ascii="Times New Roman" w:hAnsi="Times New Roman" w:cs="Times New Roman"/>
        </w:rPr>
        <w:footnoteRef/>
      </w:r>
      <w:r w:rsidRPr="008E7423">
        <w:rPr>
          <w:lang w:val="en-GB"/>
        </w:rPr>
        <w:t xml:space="preserve"> </w:t>
      </w:r>
      <w:r>
        <w:rPr>
          <w:rFonts w:ascii="Times New Roman" w:hAnsi="Times New Roman" w:cs="Times New Roman"/>
          <w:lang w:val="en-GB"/>
        </w:rPr>
        <w:t xml:space="preserve">A heretical </w:t>
      </w:r>
      <w:r w:rsidR="002E1861">
        <w:rPr>
          <w:rFonts w:ascii="Times New Roman" w:hAnsi="Times New Roman" w:cs="Times New Roman"/>
          <w:lang w:val="en-GB"/>
        </w:rPr>
        <w:t xml:space="preserve">point of view might be that some of the interactions analysed in formal modelling are so complex </w:t>
      </w:r>
      <w:r w:rsidR="00BA1650">
        <w:rPr>
          <w:rFonts w:ascii="Times New Roman" w:hAnsi="Times New Roman" w:cs="Times New Roman"/>
          <w:lang w:val="en-GB"/>
        </w:rPr>
        <w:t xml:space="preserve">that </w:t>
      </w:r>
      <w:r w:rsidR="00925EFD">
        <w:rPr>
          <w:rFonts w:ascii="Times New Roman" w:hAnsi="Times New Roman" w:cs="Times New Roman"/>
          <w:lang w:val="en-GB"/>
        </w:rPr>
        <w:t>wage bargainers</w:t>
      </w:r>
      <w:r w:rsidR="00BA1650">
        <w:rPr>
          <w:rFonts w:ascii="Times New Roman" w:hAnsi="Times New Roman" w:cs="Times New Roman"/>
          <w:lang w:val="en-GB"/>
        </w:rPr>
        <w:t xml:space="preserve"> are</w:t>
      </w:r>
      <w:r w:rsidR="005154EF">
        <w:rPr>
          <w:rFonts w:ascii="Times New Roman" w:hAnsi="Times New Roman" w:cs="Times New Roman"/>
          <w:lang w:val="en-GB"/>
        </w:rPr>
        <w:t xml:space="preserve"> unlikely to be aware of them.</w:t>
      </w:r>
    </w:p>
  </w:footnote>
  <w:footnote w:id="36">
    <w:p w14:paraId="2470F8EF" w14:textId="4EBC298A" w:rsidR="007862DA" w:rsidRPr="00DB6797" w:rsidRDefault="007862DA">
      <w:pPr>
        <w:pStyle w:val="FootnoteText"/>
        <w:rPr>
          <w:rFonts w:ascii="Times New Roman" w:hAnsi="Times New Roman" w:cs="Times New Roman"/>
          <w:lang w:val="en-GB"/>
        </w:rPr>
      </w:pPr>
      <w:r w:rsidRPr="00DB6797">
        <w:rPr>
          <w:rStyle w:val="FootnoteReference"/>
          <w:rFonts w:ascii="Times New Roman" w:hAnsi="Times New Roman" w:cs="Times New Roman"/>
        </w:rPr>
        <w:footnoteRef/>
      </w:r>
      <w:r w:rsidRPr="00DB6797">
        <w:rPr>
          <w:rFonts w:ascii="Times New Roman" w:hAnsi="Times New Roman" w:cs="Times New Roman"/>
          <w:lang w:val="en-GB"/>
        </w:rPr>
        <w:t xml:space="preserve"> </w:t>
      </w:r>
      <w:r w:rsidR="00B92917" w:rsidRPr="00DB6797">
        <w:rPr>
          <w:rFonts w:ascii="Times New Roman" w:hAnsi="Times New Roman" w:cs="Times New Roman"/>
          <w:lang w:val="en-GB"/>
        </w:rPr>
        <w:t>The model does not distinguish between</w:t>
      </w:r>
      <w:r w:rsidR="00545889" w:rsidRPr="00DB6797">
        <w:rPr>
          <w:rFonts w:ascii="Times New Roman" w:hAnsi="Times New Roman" w:cs="Times New Roman"/>
          <w:lang w:val="en-GB"/>
        </w:rPr>
        <w:t xml:space="preserve"> the (private) nontradables sector and the public sector</w:t>
      </w:r>
      <w:r w:rsidR="00B92917" w:rsidRPr="00DB6797">
        <w:rPr>
          <w:rFonts w:ascii="Times New Roman" w:hAnsi="Times New Roman" w:cs="Times New Roman"/>
          <w:lang w:val="en-GB"/>
        </w:rPr>
        <w:t>, Care for the elderly is provided through purchases of non</w:t>
      </w:r>
      <w:r w:rsidR="00DB6797" w:rsidRPr="00DB6797">
        <w:rPr>
          <w:rFonts w:ascii="Times New Roman" w:hAnsi="Times New Roman" w:cs="Times New Roman"/>
          <w:lang w:val="en-GB"/>
        </w:rPr>
        <w:t>tradables irrespective of whether financing is private or public.</w:t>
      </w:r>
      <w:r w:rsidR="00B92917" w:rsidRPr="00DB6797">
        <w:rPr>
          <w:rFonts w:ascii="Times New Roman" w:hAnsi="Times New Roman" w:cs="Times New Roman"/>
          <w:lang w:val="en-GB"/>
        </w:rPr>
        <w:t xml:space="preserve"> </w:t>
      </w:r>
    </w:p>
  </w:footnote>
  <w:footnote w:id="37">
    <w:p w14:paraId="7CC662DC" w14:textId="6FE41B7E" w:rsidR="00C665EE" w:rsidRPr="00343797" w:rsidRDefault="00C665EE">
      <w:pPr>
        <w:pStyle w:val="FootnoteText"/>
        <w:rPr>
          <w:rFonts w:ascii="Times New Roman" w:hAnsi="Times New Roman" w:cs="Times New Roman"/>
          <w:lang w:val="en-GB"/>
        </w:rPr>
      </w:pPr>
      <w:r>
        <w:rPr>
          <w:rStyle w:val="FootnoteReference"/>
        </w:rPr>
        <w:footnoteRef/>
      </w:r>
      <w:r w:rsidRPr="00F1180C">
        <w:rPr>
          <w:lang w:val="en-GB"/>
        </w:rPr>
        <w:t xml:space="preserve"> </w:t>
      </w:r>
      <w:r w:rsidR="002B2343">
        <w:rPr>
          <w:rFonts w:ascii="Times New Roman" w:hAnsi="Times New Roman" w:cs="Times New Roman"/>
          <w:lang w:val="en-GB"/>
        </w:rPr>
        <w:t>If</w:t>
      </w:r>
      <w:r w:rsidR="008D39C0" w:rsidRPr="00343797">
        <w:rPr>
          <w:rFonts w:ascii="Times New Roman" w:hAnsi="Times New Roman" w:cs="Times New Roman"/>
          <w:lang w:val="en-GB"/>
        </w:rPr>
        <w:t xml:space="preserv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oMath>
      <w:r w:rsidR="00F1180C" w:rsidRPr="00343797">
        <w:rPr>
          <w:rFonts w:ascii="Times New Roman" w:eastAsiaTheme="minorEastAsia" w:hAnsi="Times New Roman" w:cs="Times New Roman"/>
          <w:lang w:val="en-GB"/>
        </w:rPr>
        <w:t xml:space="preserve"> </w:t>
      </w:r>
      <w:r w:rsidR="002B2343">
        <w:rPr>
          <w:rFonts w:ascii="Times New Roman" w:eastAsiaTheme="minorEastAsia" w:hAnsi="Times New Roman" w:cs="Times New Roman"/>
          <w:lang w:val="en-GB"/>
        </w:rPr>
        <w:t>is</w:t>
      </w:r>
      <w:r w:rsidR="00F1180C" w:rsidRPr="00343797">
        <w:rPr>
          <w:rFonts w:ascii="Times New Roman" w:eastAsiaTheme="minorEastAsia" w:hAnsi="Times New Roman" w:cs="Times New Roman"/>
          <w:lang w:val="en-GB"/>
        </w:rPr>
        <w:t xml:space="preserve"> the price of tradables,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oMath>
      <w:r w:rsidR="000E294C" w:rsidRPr="00343797">
        <w:rPr>
          <w:rFonts w:ascii="Times New Roman" w:eastAsiaTheme="minorEastAsia" w:hAnsi="Times New Roman" w:cs="Times New Roman"/>
          <w:lang w:val="en-GB"/>
        </w:rPr>
        <w:t xml:space="preserve"> the price of nontradables, </w:t>
      </w:r>
      <m:oMath>
        <m:sSub>
          <m:sSubPr>
            <m:ctrlPr>
              <w:rPr>
                <w:rFonts w:ascii="Cambria Math" w:hAnsi="Cambria Math" w:cs="Times New Roman"/>
                <w:i/>
              </w:rPr>
            </m:ctrlPr>
          </m:sSubPr>
          <m:e>
            <m:r>
              <w:rPr>
                <w:rFonts w:ascii="Cambria Math" w:hAnsi="Cambria Math" w:cs="Times New Roman"/>
              </w:rPr>
              <m:t>MP</m:t>
            </m:r>
          </m:e>
          <m:sub>
            <m:r>
              <w:rPr>
                <w:rFonts w:ascii="Cambria Math" w:hAnsi="Cambria Math" w:cs="Times New Roman"/>
              </w:rPr>
              <m:t>T</m:t>
            </m:r>
          </m:sub>
        </m:sSub>
      </m:oMath>
      <w:r w:rsidR="00EE3A9D" w:rsidRPr="00343797">
        <w:rPr>
          <w:rFonts w:ascii="Times New Roman" w:eastAsiaTheme="minorEastAsia" w:hAnsi="Times New Roman" w:cs="Times New Roman"/>
          <w:lang w:val="en-GB"/>
        </w:rPr>
        <w:t xml:space="preserve"> the marginal product of labour in the tradables sector, </w:t>
      </w:r>
      <m:oMath>
        <m:sSub>
          <m:sSubPr>
            <m:ctrlPr>
              <w:rPr>
                <w:rFonts w:ascii="Cambria Math" w:hAnsi="Cambria Math" w:cs="Times New Roman"/>
                <w:i/>
              </w:rPr>
            </m:ctrlPr>
          </m:sSubPr>
          <m:e>
            <m:r>
              <w:rPr>
                <w:rFonts w:ascii="Cambria Math" w:hAnsi="Cambria Math" w:cs="Times New Roman"/>
              </w:rPr>
              <m:t>MP</m:t>
            </m:r>
          </m:e>
          <m:sub>
            <m:r>
              <w:rPr>
                <w:rFonts w:ascii="Cambria Math" w:hAnsi="Cambria Math" w:cs="Times New Roman"/>
              </w:rPr>
              <m:t>N</m:t>
            </m:r>
          </m:sub>
        </m:sSub>
      </m:oMath>
      <w:r w:rsidR="00EE3A9D" w:rsidRPr="00343797">
        <w:rPr>
          <w:rFonts w:ascii="Times New Roman" w:eastAsiaTheme="minorEastAsia" w:hAnsi="Times New Roman" w:cs="Times New Roman"/>
          <w:lang w:val="en-GB"/>
        </w:rPr>
        <w:t xml:space="preserve"> the marginal product of labour in the nontradables sector and </w:t>
      </w:r>
      <m:oMath>
        <m:r>
          <w:rPr>
            <w:rFonts w:ascii="Cambria Math" w:hAnsi="Cambria Math" w:cs="Times New Roman"/>
          </w:rPr>
          <m:t>W</m:t>
        </m:r>
      </m:oMath>
      <w:r w:rsidR="00EE3A9D" w:rsidRPr="00343797">
        <w:rPr>
          <w:rFonts w:ascii="Times New Roman" w:eastAsiaTheme="minorEastAsia" w:hAnsi="Times New Roman" w:cs="Times New Roman"/>
          <w:lang w:val="en-GB"/>
        </w:rPr>
        <w:t xml:space="preserve"> the wage</w:t>
      </w:r>
      <w:r w:rsidR="002B2343">
        <w:rPr>
          <w:rFonts w:ascii="Times New Roman" w:eastAsiaTheme="minorEastAsia" w:hAnsi="Times New Roman" w:cs="Times New Roman"/>
          <w:lang w:val="en-GB"/>
        </w:rPr>
        <w:t>, p</w:t>
      </w:r>
      <w:r w:rsidR="00FF2C6D" w:rsidRPr="00343797">
        <w:rPr>
          <w:rFonts w:ascii="Times New Roman" w:eastAsiaTheme="minorEastAsia" w:hAnsi="Times New Roman" w:cs="Times New Roman"/>
          <w:lang w:val="en-GB"/>
        </w:rPr>
        <w:t xml:space="preserve">rofit maximisation implies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r>
          <w:rPr>
            <w:rFonts w:ascii="Cambria Math" w:hAnsi="Cambria Math" w:cs="Times New Roman"/>
            <w:lang w:val="en-GB"/>
          </w:rPr>
          <m:t>×</m:t>
        </m:r>
      </m:oMath>
      <w:r w:rsidR="00FF2C6D" w:rsidRPr="00343797">
        <w:rPr>
          <w:rFonts w:ascii="Times New Roman" w:eastAsiaTheme="minorEastAsia" w:hAnsi="Times New Roman" w:cs="Times New Roman"/>
          <w:lang w:val="en-GB"/>
        </w:rPr>
        <w:t xml:space="preserve"> </w:t>
      </w:r>
      <m:oMath>
        <m:sSub>
          <m:sSubPr>
            <m:ctrlPr>
              <w:rPr>
                <w:rFonts w:ascii="Cambria Math" w:hAnsi="Cambria Math" w:cs="Times New Roman"/>
                <w:i/>
              </w:rPr>
            </m:ctrlPr>
          </m:sSubPr>
          <m:e>
            <m:r>
              <w:rPr>
                <w:rFonts w:ascii="Cambria Math" w:hAnsi="Cambria Math" w:cs="Times New Roman"/>
              </w:rPr>
              <m:t>MP</m:t>
            </m:r>
          </m:e>
          <m:sub>
            <m:r>
              <w:rPr>
                <w:rFonts w:ascii="Cambria Math" w:hAnsi="Cambria Math" w:cs="Times New Roman"/>
              </w:rPr>
              <m:t>T</m:t>
            </m:r>
          </m:sub>
        </m:sSub>
        <m:r>
          <w:rPr>
            <w:rFonts w:ascii="Cambria Math" w:hAnsi="Cambria Math" w:cs="Times New Roman"/>
            <w:lang w:val="en-GB"/>
          </w:rPr>
          <m:t>=</m:t>
        </m:r>
        <m:r>
          <w:rPr>
            <w:rFonts w:ascii="Cambria Math" w:hAnsi="Cambria Math" w:cs="Times New Roman"/>
          </w:rPr>
          <m:t>W</m:t>
        </m:r>
        <m:r>
          <w:rPr>
            <w:rFonts w:ascii="Cambria Math" w:hAnsi="Cambria Math" w:cs="Times New Roman"/>
            <w:lang w:val="en-GB"/>
          </w:rPr>
          <m:t xml:space="preserve">=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hAnsi="Cambria Math" w:cs="Times New Roman"/>
            <w:lang w:val="en-GB"/>
          </w:rPr>
          <m:t>×</m:t>
        </m:r>
      </m:oMath>
      <w:r w:rsidR="00143B27" w:rsidRPr="00343797">
        <w:rPr>
          <w:rFonts w:ascii="Times New Roman" w:eastAsiaTheme="minorEastAsia" w:hAnsi="Times New Roman" w:cs="Times New Roman"/>
          <w:lang w:val="en-GB"/>
        </w:rPr>
        <w:t xml:space="preserve"> </w:t>
      </w:r>
      <m:oMath>
        <m:sSub>
          <m:sSubPr>
            <m:ctrlPr>
              <w:rPr>
                <w:rFonts w:ascii="Cambria Math" w:hAnsi="Cambria Math" w:cs="Times New Roman"/>
                <w:i/>
              </w:rPr>
            </m:ctrlPr>
          </m:sSubPr>
          <m:e>
            <m:r>
              <w:rPr>
                <w:rFonts w:ascii="Cambria Math" w:hAnsi="Cambria Math" w:cs="Times New Roman"/>
              </w:rPr>
              <m:t>MP</m:t>
            </m:r>
          </m:e>
          <m:sub>
            <m:r>
              <w:rPr>
                <w:rFonts w:ascii="Cambria Math" w:hAnsi="Cambria Math" w:cs="Times New Roman"/>
              </w:rPr>
              <m:t>N</m:t>
            </m:r>
          </m:sub>
        </m:sSub>
      </m:oMath>
      <w:r w:rsidR="0070039E" w:rsidRPr="00343797">
        <w:rPr>
          <w:rFonts w:ascii="Times New Roman" w:eastAsiaTheme="minorEastAsia" w:hAnsi="Times New Roman" w:cs="Times New Roman"/>
          <w:lang w:val="en-GB"/>
        </w:rPr>
        <w:t xml:space="preserve">. </w:t>
      </w:r>
      <w:r w:rsidR="004B62B6" w:rsidRPr="00343797">
        <w:rPr>
          <w:rFonts w:ascii="Times New Roman" w:eastAsiaTheme="minorEastAsia" w:hAnsi="Times New Roman" w:cs="Times New Roman"/>
          <w:lang w:val="en-GB"/>
        </w:rPr>
        <w:t xml:space="preserve">As the value of the marginal product </w:t>
      </w:r>
      <w:r w:rsidR="00E72D55" w:rsidRPr="00343797">
        <w:rPr>
          <w:rFonts w:ascii="Times New Roman" w:eastAsiaTheme="minorEastAsia" w:hAnsi="Times New Roman" w:cs="Times New Roman"/>
          <w:lang w:val="en-GB"/>
        </w:rPr>
        <w:t xml:space="preserve">is the same in both sectors, the value of production cannot be increased by </w:t>
      </w:r>
      <w:r w:rsidR="00A86523">
        <w:rPr>
          <w:rFonts w:ascii="Times New Roman" w:eastAsiaTheme="minorEastAsia" w:hAnsi="Times New Roman" w:cs="Times New Roman"/>
          <w:lang w:val="en-GB"/>
        </w:rPr>
        <w:t>labour</w:t>
      </w:r>
      <w:r w:rsidR="00E72D55" w:rsidRPr="00343797">
        <w:rPr>
          <w:rFonts w:ascii="Times New Roman" w:eastAsiaTheme="minorEastAsia" w:hAnsi="Times New Roman" w:cs="Times New Roman"/>
          <w:lang w:val="en-GB"/>
        </w:rPr>
        <w:t xml:space="preserve"> reallocation</w:t>
      </w:r>
      <w:r w:rsidR="00BB6D08" w:rsidRPr="00343797">
        <w:rPr>
          <w:rFonts w:ascii="Times New Roman" w:eastAsiaTheme="minorEastAsia" w:hAnsi="Times New Roman" w:cs="Times New Roman"/>
          <w:lang w:val="en-GB"/>
        </w:rPr>
        <w:t>. Hence, the allocation is efficient</w:t>
      </w:r>
      <w:r w:rsidR="006C41BD" w:rsidRPr="00343797">
        <w:rPr>
          <w:rFonts w:ascii="Times New Roman" w:eastAsiaTheme="minorEastAsia" w:hAnsi="Times New Roman" w:cs="Times New Roman"/>
          <w:lang w:val="en-GB"/>
        </w:rPr>
        <w:t xml:space="preserve">. The equality </w:t>
      </w:r>
      <w:r w:rsidR="00A25E17" w:rsidRPr="00343797">
        <w:rPr>
          <w:rFonts w:ascii="Times New Roman" w:eastAsiaTheme="minorEastAsia" w:hAnsi="Times New Roman" w:cs="Times New Roman"/>
          <w:lang w:val="en-GB"/>
        </w:rPr>
        <w:t>also says</w:t>
      </w:r>
      <w:r w:rsidR="001A1679">
        <w:rPr>
          <w:rFonts w:ascii="Times New Roman" w:eastAsiaTheme="minorEastAsia" w:hAnsi="Times New Roman" w:cs="Times New Roman"/>
          <w:lang w:val="en-GB"/>
        </w:rPr>
        <w:t xml:space="preserve"> that</w:t>
      </w:r>
      <w:r w:rsidR="001C26F6" w:rsidRPr="00343797">
        <w:rPr>
          <w:rFonts w:ascii="Times New Roman" w:eastAsiaTheme="minorEastAsia" w:hAnsi="Times New Roman" w:cs="Times New Roman"/>
          <w:lang w:val="en-GB"/>
        </w:rPr>
        <w:t xml:space="preserv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hAnsi="Cambria Math" w:cs="Times New Roman"/>
            <w:lang w:val="en-GB"/>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r>
          <w:rPr>
            <w:rFonts w:ascii="Cambria Math" w:hAnsi="Cambria Math" w:cs="Times New Roman"/>
            <w:lang w:val="en-GB"/>
          </w:rPr>
          <m:t>=</m:t>
        </m:r>
      </m:oMath>
      <w:r w:rsidR="006C41BD" w:rsidRPr="00343797">
        <w:rPr>
          <w:rFonts w:ascii="Times New Roman" w:eastAsiaTheme="minorEastAsia" w:hAnsi="Times New Roman" w:cs="Times New Roman"/>
          <w:lang w:val="en-GB"/>
        </w:rPr>
        <w:t xml:space="preserve"> </w:t>
      </w:r>
      <m:oMath>
        <m:sSub>
          <m:sSubPr>
            <m:ctrlPr>
              <w:rPr>
                <w:rFonts w:ascii="Cambria Math" w:hAnsi="Cambria Math" w:cs="Times New Roman"/>
                <w:i/>
              </w:rPr>
            </m:ctrlPr>
          </m:sSubPr>
          <m:e>
            <m:r>
              <w:rPr>
                <w:rFonts w:ascii="Cambria Math" w:hAnsi="Cambria Math" w:cs="Times New Roman"/>
              </w:rPr>
              <m:t>MP</m:t>
            </m:r>
          </m:e>
          <m:sub>
            <m:r>
              <w:rPr>
                <w:rFonts w:ascii="Cambria Math" w:hAnsi="Cambria Math" w:cs="Times New Roman"/>
              </w:rPr>
              <m:t>T</m:t>
            </m:r>
          </m:sub>
        </m:sSub>
        <m:r>
          <w:rPr>
            <w:rFonts w:ascii="Cambria Math" w:hAnsi="Cambria Math" w:cs="Times New Roman"/>
            <w:lang w:val="en-GB"/>
          </w:rPr>
          <m:t>/</m:t>
        </m:r>
        <m:sSub>
          <m:sSubPr>
            <m:ctrlPr>
              <w:rPr>
                <w:rFonts w:ascii="Cambria Math" w:hAnsi="Cambria Math" w:cs="Times New Roman"/>
                <w:i/>
              </w:rPr>
            </m:ctrlPr>
          </m:sSubPr>
          <m:e>
            <m:r>
              <w:rPr>
                <w:rFonts w:ascii="Cambria Math" w:hAnsi="Cambria Math" w:cs="Times New Roman"/>
              </w:rPr>
              <m:t>MP</m:t>
            </m:r>
          </m:e>
          <m:sub>
            <m:r>
              <w:rPr>
                <w:rFonts w:ascii="Cambria Math" w:hAnsi="Cambria Math" w:cs="Times New Roman"/>
              </w:rPr>
              <m:t>N</m:t>
            </m:r>
          </m:sub>
        </m:sSub>
      </m:oMath>
      <w:r w:rsidR="00A25E17" w:rsidRPr="00343797">
        <w:rPr>
          <w:rFonts w:ascii="Times New Roman" w:eastAsiaTheme="minorEastAsia" w:hAnsi="Times New Roman" w:cs="Times New Roman"/>
          <w:lang w:val="en-GB"/>
        </w:rPr>
        <w:t xml:space="preserv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hAnsi="Cambria Math" w:cs="Times New Roman"/>
            <w:lang w:val="en-GB"/>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oMath>
      <w:r w:rsidR="00676134" w:rsidRPr="00343797">
        <w:rPr>
          <w:rFonts w:ascii="Times New Roman" w:eastAsiaTheme="minorEastAsia" w:hAnsi="Times New Roman" w:cs="Times New Roman"/>
          <w:lang w:val="en-GB"/>
        </w:rPr>
        <w:t xml:space="preserve"> is the slope of the price line </w:t>
      </w:r>
      <w:r w:rsidR="009146C0" w:rsidRPr="00343797">
        <w:rPr>
          <w:rFonts w:ascii="Times New Roman" w:eastAsiaTheme="minorEastAsia" w:hAnsi="Times New Roman" w:cs="Times New Roman"/>
          <w:lang w:val="en-GB"/>
        </w:rPr>
        <w:t xml:space="preserve">and </w:t>
      </w:r>
      <m:oMath>
        <m:sSub>
          <m:sSubPr>
            <m:ctrlPr>
              <w:rPr>
                <w:rFonts w:ascii="Cambria Math" w:hAnsi="Cambria Math" w:cs="Times New Roman"/>
                <w:i/>
              </w:rPr>
            </m:ctrlPr>
          </m:sSubPr>
          <m:e>
            <m:r>
              <w:rPr>
                <w:rFonts w:ascii="Cambria Math" w:hAnsi="Cambria Math" w:cs="Times New Roman"/>
              </w:rPr>
              <m:t>MP</m:t>
            </m:r>
          </m:e>
          <m:sub>
            <m:r>
              <w:rPr>
                <w:rFonts w:ascii="Cambria Math" w:hAnsi="Cambria Math" w:cs="Times New Roman"/>
              </w:rPr>
              <m:t>T</m:t>
            </m:r>
          </m:sub>
        </m:sSub>
        <m:r>
          <w:rPr>
            <w:rFonts w:ascii="Cambria Math" w:hAnsi="Cambria Math" w:cs="Times New Roman"/>
            <w:lang w:val="en-GB"/>
          </w:rPr>
          <m:t>/</m:t>
        </m:r>
        <m:sSub>
          <m:sSubPr>
            <m:ctrlPr>
              <w:rPr>
                <w:rFonts w:ascii="Cambria Math" w:hAnsi="Cambria Math" w:cs="Times New Roman"/>
                <w:i/>
              </w:rPr>
            </m:ctrlPr>
          </m:sSubPr>
          <m:e>
            <m:r>
              <w:rPr>
                <w:rFonts w:ascii="Cambria Math" w:hAnsi="Cambria Math" w:cs="Times New Roman"/>
              </w:rPr>
              <m:t>MP</m:t>
            </m:r>
          </m:e>
          <m:sub>
            <m:r>
              <w:rPr>
                <w:rFonts w:ascii="Cambria Math" w:hAnsi="Cambria Math" w:cs="Times New Roman"/>
              </w:rPr>
              <m:t>N</m:t>
            </m:r>
          </m:sub>
        </m:sSub>
      </m:oMath>
      <w:r w:rsidR="009146C0" w:rsidRPr="00343797">
        <w:rPr>
          <w:rFonts w:ascii="Times New Roman" w:eastAsiaTheme="minorEastAsia" w:hAnsi="Times New Roman" w:cs="Times New Roman"/>
          <w:lang w:val="en-GB"/>
        </w:rPr>
        <w:t xml:space="preserve"> the slope of the production possibility frontier</w:t>
      </w:r>
      <w:r w:rsidR="002F2CB5" w:rsidRPr="00343797">
        <w:rPr>
          <w:rFonts w:ascii="Times New Roman" w:eastAsiaTheme="minorEastAsia" w:hAnsi="Times New Roman" w:cs="Times New Roman"/>
          <w:lang w:val="en-GB"/>
        </w:rPr>
        <w:t>. Thus, the tangency point between the price line and the produc</w:t>
      </w:r>
      <w:r w:rsidR="00ED6B24" w:rsidRPr="00343797">
        <w:rPr>
          <w:rFonts w:ascii="Times New Roman" w:eastAsiaTheme="minorEastAsia" w:hAnsi="Times New Roman" w:cs="Times New Roman"/>
          <w:lang w:val="en-GB"/>
        </w:rPr>
        <w:t>tion possibility frontier represents both profit maximisation and social efficiency.</w:t>
      </w:r>
    </w:p>
  </w:footnote>
  <w:footnote w:id="38">
    <w:p w14:paraId="464FF71B" w14:textId="47FE97D4" w:rsidR="004F3B16" w:rsidRPr="004F3B16" w:rsidRDefault="004F3B16">
      <w:pPr>
        <w:pStyle w:val="FootnoteText"/>
        <w:rPr>
          <w:lang w:val="en-GB"/>
        </w:rPr>
      </w:pPr>
      <w:r>
        <w:rPr>
          <w:rStyle w:val="FootnoteReference"/>
        </w:rPr>
        <w:footnoteRef/>
      </w:r>
      <w:r w:rsidRPr="004F3B16">
        <w:rPr>
          <w:lang w:val="en-GB"/>
        </w:rPr>
        <w:t xml:space="preserve"> </w:t>
      </w:r>
      <w:r w:rsidRPr="008459A3">
        <w:rPr>
          <w:rFonts w:ascii="Times New Roman" w:hAnsi="Times New Roman" w:cs="Times New Roman"/>
          <w:lang w:val="en-GB"/>
        </w:rPr>
        <w:t xml:space="preserve">The decrease in saving and the </w:t>
      </w:r>
      <w:r w:rsidR="006B6C15" w:rsidRPr="008459A3">
        <w:rPr>
          <w:rFonts w:ascii="Times New Roman" w:hAnsi="Times New Roman" w:cs="Times New Roman"/>
          <w:lang w:val="en-GB"/>
        </w:rPr>
        <w:t>composition shift in product demand can</w:t>
      </w:r>
      <w:r w:rsidR="008459A3" w:rsidRPr="008459A3">
        <w:rPr>
          <w:rFonts w:ascii="Times New Roman" w:hAnsi="Times New Roman" w:cs="Times New Roman"/>
          <w:lang w:val="en-GB"/>
        </w:rPr>
        <w:t xml:space="preserve"> </w:t>
      </w:r>
      <w:r w:rsidR="006B6C15" w:rsidRPr="008459A3">
        <w:rPr>
          <w:rFonts w:ascii="Times New Roman" w:hAnsi="Times New Roman" w:cs="Times New Roman"/>
          <w:lang w:val="en-GB"/>
        </w:rPr>
        <w:t xml:space="preserve">be seen as </w:t>
      </w:r>
      <w:r w:rsidR="00D27AAF">
        <w:rPr>
          <w:rFonts w:ascii="Times New Roman" w:hAnsi="Times New Roman" w:cs="Times New Roman"/>
          <w:lang w:val="en-GB"/>
        </w:rPr>
        <w:t xml:space="preserve">the </w:t>
      </w:r>
      <w:r w:rsidR="008459A3" w:rsidRPr="008459A3">
        <w:rPr>
          <w:rFonts w:ascii="Times New Roman" w:hAnsi="Times New Roman" w:cs="Times New Roman"/>
          <w:lang w:val="en-GB"/>
        </w:rPr>
        <w:t>combined effect of individual and government</w:t>
      </w:r>
      <w:r w:rsidR="005D310D">
        <w:rPr>
          <w:rFonts w:ascii="Times New Roman" w:hAnsi="Times New Roman" w:cs="Times New Roman"/>
          <w:lang w:val="en-GB"/>
        </w:rPr>
        <w:t xml:space="preserve"> </w:t>
      </w:r>
      <w:r w:rsidR="008459A3" w:rsidRPr="008459A3">
        <w:rPr>
          <w:rFonts w:ascii="Times New Roman" w:hAnsi="Times New Roman" w:cs="Times New Roman"/>
          <w:lang w:val="en-GB"/>
        </w:rPr>
        <w:t>decisions.</w:t>
      </w:r>
    </w:p>
  </w:footnote>
  <w:footnote w:id="39">
    <w:p w14:paraId="18FD1E3D" w14:textId="6B0C9385" w:rsidR="00365884" w:rsidRPr="00306B43" w:rsidRDefault="00365884">
      <w:pPr>
        <w:pStyle w:val="FootnoteText"/>
        <w:rPr>
          <w:rFonts w:ascii="Times New Roman" w:hAnsi="Times New Roman" w:cs="Times New Roman"/>
          <w:lang w:val="en-GB"/>
        </w:rPr>
      </w:pPr>
      <w:r w:rsidRPr="00E22F72">
        <w:rPr>
          <w:rStyle w:val="FootnoteReference"/>
          <w:rFonts w:ascii="Times New Roman" w:hAnsi="Times New Roman" w:cs="Times New Roman"/>
        </w:rPr>
        <w:footnoteRef/>
      </w:r>
      <w:r w:rsidRPr="00E22F72">
        <w:rPr>
          <w:rFonts w:ascii="Times New Roman" w:hAnsi="Times New Roman" w:cs="Times New Roman"/>
          <w:lang w:val="en-GB"/>
        </w:rPr>
        <w:t xml:space="preserve"> </w:t>
      </w:r>
      <w:r w:rsidR="00620EA4" w:rsidRPr="00E22F72">
        <w:rPr>
          <w:rFonts w:ascii="Times New Roman" w:hAnsi="Times New Roman" w:cs="Times New Roman"/>
          <w:lang w:val="en-GB"/>
        </w:rPr>
        <w:t>With inflation targeting</w:t>
      </w:r>
      <w:r w:rsidR="00530E63" w:rsidRPr="00E22F72">
        <w:rPr>
          <w:rFonts w:ascii="Times New Roman" w:hAnsi="Times New Roman" w:cs="Times New Roman"/>
          <w:lang w:val="en-GB"/>
        </w:rPr>
        <w:t xml:space="preserve">, </w:t>
      </w:r>
      <w:r w:rsidR="00A82153" w:rsidRPr="00E22F72">
        <w:rPr>
          <w:rFonts w:ascii="Times New Roman" w:hAnsi="Times New Roman" w:cs="Times New Roman"/>
          <w:lang w:val="en-GB"/>
        </w:rPr>
        <w:t xml:space="preserve">the central bank does not allow a rise in the relative price of non-tradables to </w:t>
      </w:r>
      <w:r w:rsidR="004B4EA4" w:rsidRPr="00E22F72">
        <w:rPr>
          <w:rFonts w:ascii="Times New Roman" w:hAnsi="Times New Roman" w:cs="Times New Roman"/>
          <w:lang w:val="en-GB"/>
        </w:rPr>
        <w:t>increase the general price level</w:t>
      </w:r>
      <w:r w:rsidR="004529D3" w:rsidRPr="00E22F72">
        <w:rPr>
          <w:rFonts w:ascii="Times New Roman" w:hAnsi="Times New Roman" w:cs="Times New Roman"/>
          <w:lang w:val="en-GB"/>
        </w:rPr>
        <w:t xml:space="preserve"> </w:t>
      </w:r>
      <w:r w:rsidR="009E5AD6" w:rsidRPr="00E22F72">
        <w:rPr>
          <w:rFonts w:ascii="Times New Roman" w:hAnsi="Times New Roman" w:cs="Times New Roman"/>
          <w:lang w:val="en-GB"/>
        </w:rPr>
        <w:t xml:space="preserve">(more than </w:t>
      </w:r>
      <w:r w:rsidR="005D310D">
        <w:rPr>
          <w:rFonts w:ascii="Times New Roman" w:hAnsi="Times New Roman" w:cs="Times New Roman"/>
          <w:lang w:val="en-GB"/>
        </w:rPr>
        <w:t>is consistent with</w:t>
      </w:r>
      <w:r w:rsidR="009E5AD6" w:rsidRPr="00E22F72">
        <w:rPr>
          <w:rFonts w:ascii="Times New Roman" w:hAnsi="Times New Roman" w:cs="Times New Roman"/>
          <w:lang w:val="en-GB"/>
        </w:rPr>
        <w:t xml:space="preserve"> the target)</w:t>
      </w:r>
      <w:r w:rsidR="004B4EA4" w:rsidRPr="00E22F72">
        <w:rPr>
          <w:rFonts w:ascii="Times New Roman" w:hAnsi="Times New Roman" w:cs="Times New Roman"/>
          <w:lang w:val="en-GB"/>
        </w:rPr>
        <w:t xml:space="preserve">. Hence, monetary policy </w:t>
      </w:r>
      <w:r w:rsidR="00B14C9F" w:rsidRPr="00E22F72">
        <w:rPr>
          <w:rFonts w:ascii="Times New Roman" w:hAnsi="Times New Roman" w:cs="Times New Roman"/>
          <w:lang w:val="en-GB"/>
        </w:rPr>
        <w:t>induce</w:t>
      </w:r>
      <w:r w:rsidR="001B76B4">
        <w:rPr>
          <w:rFonts w:ascii="Times New Roman" w:hAnsi="Times New Roman" w:cs="Times New Roman"/>
          <w:lang w:val="en-GB"/>
        </w:rPr>
        <w:t>s</w:t>
      </w:r>
      <w:r w:rsidR="00B14C9F" w:rsidRPr="00E22F72">
        <w:rPr>
          <w:rFonts w:ascii="Times New Roman" w:hAnsi="Times New Roman" w:cs="Times New Roman"/>
          <w:lang w:val="en-GB"/>
        </w:rPr>
        <w:t xml:space="preserve"> </w:t>
      </w:r>
      <w:r w:rsidR="00C60108" w:rsidRPr="00E22F72">
        <w:rPr>
          <w:rFonts w:ascii="Times New Roman" w:hAnsi="Times New Roman" w:cs="Times New Roman"/>
          <w:lang w:val="en-GB"/>
        </w:rPr>
        <w:t>an exchange rate appreciation</w:t>
      </w:r>
      <w:r w:rsidR="00ED652D" w:rsidRPr="00E22F72">
        <w:rPr>
          <w:rFonts w:ascii="Times New Roman" w:hAnsi="Times New Roman" w:cs="Times New Roman"/>
          <w:lang w:val="en-GB"/>
        </w:rPr>
        <w:t>. Thi</w:t>
      </w:r>
      <w:r w:rsidR="00B821FF" w:rsidRPr="00E22F72">
        <w:rPr>
          <w:rFonts w:ascii="Times New Roman" w:hAnsi="Times New Roman" w:cs="Times New Roman"/>
          <w:lang w:val="en-GB"/>
        </w:rPr>
        <w:t xml:space="preserve">s lowers </w:t>
      </w:r>
      <w:r w:rsidR="00317127" w:rsidRPr="00E22F72">
        <w:rPr>
          <w:rFonts w:ascii="Times New Roman" w:hAnsi="Times New Roman" w:cs="Times New Roman"/>
          <w:lang w:val="en-GB"/>
        </w:rPr>
        <w:t xml:space="preserve">both </w:t>
      </w:r>
      <w:r w:rsidR="00BE555D" w:rsidRPr="00E22F72">
        <w:rPr>
          <w:rFonts w:ascii="Times New Roman" w:hAnsi="Times New Roman" w:cs="Times New Roman"/>
          <w:lang w:val="en-GB"/>
        </w:rPr>
        <w:t>the domestic-currency price of tradables</w:t>
      </w:r>
      <w:r w:rsidR="000040D4" w:rsidRPr="00E22F72">
        <w:rPr>
          <w:rFonts w:ascii="Times New Roman" w:hAnsi="Times New Roman" w:cs="Times New Roman"/>
          <w:lang w:val="en-GB"/>
        </w:rPr>
        <w:t xml:space="preserve"> and the price of non-tradables</w:t>
      </w:r>
      <w:r w:rsidR="00BE555D" w:rsidRPr="00E22F72">
        <w:rPr>
          <w:rFonts w:ascii="Times New Roman" w:hAnsi="Times New Roman" w:cs="Times New Roman"/>
          <w:lang w:val="en-GB"/>
        </w:rPr>
        <w:t xml:space="preserve"> relative to the</w:t>
      </w:r>
      <w:r w:rsidR="006B470A" w:rsidRPr="00E22F72">
        <w:rPr>
          <w:rFonts w:ascii="Times New Roman" w:hAnsi="Times New Roman" w:cs="Times New Roman"/>
          <w:lang w:val="en-GB"/>
        </w:rPr>
        <w:t xml:space="preserve"> fixed-exchange </w:t>
      </w:r>
      <w:r w:rsidR="00317127" w:rsidRPr="00E22F72">
        <w:rPr>
          <w:rFonts w:ascii="Times New Roman" w:hAnsi="Times New Roman" w:cs="Times New Roman"/>
          <w:lang w:val="en-GB"/>
        </w:rPr>
        <w:t>rate case</w:t>
      </w:r>
      <w:r w:rsidR="00E22F72" w:rsidRPr="00E22F72">
        <w:rPr>
          <w:rFonts w:ascii="Times New Roman" w:hAnsi="Times New Roman" w:cs="Times New Roman"/>
          <w:lang w:val="en-GB"/>
        </w:rPr>
        <w:t>, but does not otherwise change the analysis.</w:t>
      </w:r>
      <w:r w:rsidR="002E5CC1">
        <w:rPr>
          <w:rFonts w:ascii="Times New Roman" w:hAnsi="Times New Roman" w:cs="Times New Roman"/>
          <w:lang w:val="en-GB"/>
        </w:rPr>
        <w:t xml:space="preserve"> </w:t>
      </w:r>
      <w:r w:rsidR="00906605">
        <w:rPr>
          <w:rFonts w:ascii="Times New Roman" w:hAnsi="Times New Roman" w:cs="Times New Roman"/>
          <w:lang w:val="en-GB"/>
        </w:rPr>
        <w:t>The same</w:t>
      </w:r>
      <w:r w:rsidR="00C15A4E">
        <w:rPr>
          <w:rFonts w:ascii="Times New Roman" w:hAnsi="Times New Roman" w:cs="Times New Roman"/>
          <w:lang w:val="en-GB"/>
        </w:rPr>
        <w:t xml:space="preserve"> increase in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hAnsi="Cambria Math" w:cs="Times New Roman"/>
            <w:lang w:val="en-GB"/>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oMath>
      <w:r w:rsidR="00C15A4E">
        <w:rPr>
          <w:rFonts w:ascii="Times New Roman" w:hAnsi="Times New Roman" w:cs="Times New Roman"/>
          <w:lang w:val="en-GB"/>
        </w:rPr>
        <w:t xml:space="preserve"> </w:t>
      </w:r>
      <w:r w:rsidR="00A6248F">
        <w:rPr>
          <w:rFonts w:ascii="Times New Roman" w:hAnsi="Times New Roman" w:cs="Times New Roman"/>
          <w:lang w:val="en-GB"/>
        </w:rPr>
        <w:t xml:space="preserve">causes the same increase in the real product wage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m:t>
            </m:r>
          </m:sub>
        </m:sSub>
        <m:r>
          <w:rPr>
            <w:rFonts w:ascii="Cambria Math" w:hAnsi="Cambria Math" w:cs="Times New Roman"/>
            <w:lang w:val="en-GB"/>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oMath>
      <w:r w:rsidR="00A6248F">
        <w:rPr>
          <w:rFonts w:ascii="Times New Roman" w:hAnsi="Times New Roman" w:cs="Times New Roman"/>
          <w:lang w:val="en-GB"/>
        </w:rPr>
        <w:t xml:space="preserve"> in the tradables sector and the same decrease in the real product wage</w:t>
      </w:r>
      <w:r w:rsidR="00ED757A">
        <w:rPr>
          <w:rFonts w:ascii="Times New Roman" w:hAnsi="Times New Roman" w:cs="Times New Roman"/>
          <w:lang w:val="en-GB"/>
        </w:rPr>
        <w:t xml:space="preserve">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N</m:t>
            </m:r>
          </m:sub>
        </m:sSub>
        <m:r>
          <w:rPr>
            <w:rFonts w:ascii="Cambria Math" w:hAnsi="Cambria Math" w:cs="Times New Roman"/>
            <w:lang w:val="en-GB"/>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oMath>
      <w:r w:rsidR="00ED757A" w:rsidRPr="00306B43">
        <w:rPr>
          <w:rFonts w:ascii="Times New Roman" w:eastAsiaTheme="minorEastAsia" w:hAnsi="Times New Roman" w:cs="Times New Roman"/>
          <w:lang w:val="en-GB"/>
        </w:rPr>
        <w:t xml:space="preserve"> in the non-tradables sector</w:t>
      </w:r>
      <w:r w:rsidR="00906605">
        <w:rPr>
          <w:rFonts w:ascii="Times New Roman" w:eastAsiaTheme="minorEastAsia" w:hAnsi="Times New Roman" w:cs="Times New Roman"/>
          <w:lang w:val="en-GB"/>
        </w:rPr>
        <w:t xml:space="preserve"> as </w:t>
      </w:r>
      <w:r w:rsidR="001A1679">
        <w:rPr>
          <w:rFonts w:ascii="Times New Roman" w:eastAsiaTheme="minorEastAsia" w:hAnsi="Times New Roman" w:cs="Times New Roman"/>
          <w:lang w:val="en-GB"/>
        </w:rPr>
        <w:t>under</w:t>
      </w:r>
      <w:r w:rsidR="00906605">
        <w:rPr>
          <w:rFonts w:ascii="Times New Roman" w:eastAsiaTheme="minorEastAsia" w:hAnsi="Times New Roman" w:cs="Times New Roman"/>
          <w:lang w:val="en-GB"/>
        </w:rPr>
        <w:t xml:space="preserve"> a fixed exchange rate</w:t>
      </w:r>
      <w:r w:rsidR="00ED757A" w:rsidRPr="00306B43">
        <w:rPr>
          <w:rFonts w:ascii="Times New Roman" w:eastAsiaTheme="minorEastAsia" w:hAnsi="Times New Roman" w:cs="Times New Roman"/>
          <w:lang w:val="en-GB"/>
        </w:rPr>
        <w:t>.</w:t>
      </w:r>
    </w:p>
  </w:footnote>
  <w:footnote w:id="40">
    <w:p w14:paraId="089A5FF9" w14:textId="0DA8535D" w:rsidR="009D2DDF" w:rsidRPr="00E2723F" w:rsidRDefault="009D2DDF" w:rsidP="00DF1DB6">
      <w:pPr>
        <w:pStyle w:val="FootnoteText"/>
        <w:rPr>
          <w:lang w:val="en-GB"/>
        </w:rPr>
      </w:pPr>
      <w:r>
        <w:rPr>
          <w:rStyle w:val="FootnoteReference"/>
        </w:rPr>
        <w:footnoteRef/>
      </w:r>
      <w:r w:rsidRPr="009D3F4F">
        <w:rPr>
          <w:lang w:val="en-GB"/>
        </w:rPr>
        <w:t xml:space="preserve"> </w:t>
      </w:r>
      <w:r w:rsidRPr="009D3F4F">
        <w:rPr>
          <w:rFonts w:ascii="Times New Roman" w:hAnsi="Times New Roman" w:cs="Times New Roman"/>
          <w:lang w:val="en-GB"/>
        </w:rPr>
        <w:t>If</w:t>
      </w:r>
      <w:r w:rsidRPr="009D3F4F">
        <w:rPr>
          <w:lang w:val="en-GB"/>
        </w:rPr>
        <w:t xml:space="preserv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hAnsi="Cambria Math" w:cs="Times New Roman"/>
            <w:lang w:val="en-GB"/>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r>
          <w:rPr>
            <w:rFonts w:ascii="Cambria Math" w:hAnsi="Cambria Math" w:cs="Times New Roman"/>
            <w:lang w:val="en-GB"/>
          </w:rPr>
          <m:t>=</m:t>
        </m:r>
      </m:oMath>
      <w:r w:rsidR="009D3F4F" w:rsidRPr="00343797">
        <w:rPr>
          <w:rFonts w:ascii="Times New Roman" w:eastAsiaTheme="minorEastAsia" w:hAnsi="Times New Roman" w:cs="Times New Roman"/>
          <w:lang w:val="en-GB"/>
        </w:rPr>
        <w:t xml:space="preserve"> </w:t>
      </w:r>
      <m:oMath>
        <m:sSub>
          <m:sSubPr>
            <m:ctrlPr>
              <w:rPr>
                <w:rFonts w:ascii="Cambria Math" w:hAnsi="Cambria Math" w:cs="Times New Roman"/>
                <w:i/>
              </w:rPr>
            </m:ctrlPr>
          </m:sSubPr>
          <m:e>
            <m:r>
              <w:rPr>
                <w:rFonts w:ascii="Cambria Math" w:hAnsi="Cambria Math" w:cs="Times New Roman"/>
              </w:rPr>
              <m:t>MP</m:t>
            </m:r>
          </m:e>
          <m:sub>
            <m:r>
              <w:rPr>
                <w:rFonts w:ascii="Cambria Math" w:hAnsi="Cambria Math" w:cs="Times New Roman"/>
              </w:rPr>
              <m:t>T</m:t>
            </m:r>
          </m:sub>
        </m:sSub>
        <m:r>
          <w:rPr>
            <w:rFonts w:ascii="Cambria Math" w:hAnsi="Cambria Math" w:cs="Times New Roman"/>
            <w:lang w:val="en-GB"/>
          </w:rPr>
          <m:t>/</m:t>
        </m:r>
        <m:sSub>
          <m:sSubPr>
            <m:ctrlPr>
              <w:rPr>
                <w:rFonts w:ascii="Cambria Math" w:hAnsi="Cambria Math" w:cs="Times New Roman"/>
                <w:i/>
              </w:rPr>
            </m:ctrlPr>
          </m:sSubPr>
          <m:e>
            <m:r>
              <w:rPr>
                <w:rFonts w:ascii="Cambria Math" w:hAnsi="Cambria Math" w:cs="Times New Roman"/>
              </w:rPr>
              <m:t>MP</m:t>
            </m:r>
          </m:e>
          <m:sub>
            <m:r>
              <w:rPr>
                <w:rFonts w:ascii="Cambria Math" w:hAnsi="Cambria Math" w:cs="Times New Roman"/>
              </w:rPr>
              <m:t>N</m:t>
            </m:r>
          </m:sub>
        </m:sSub>
      </m:oMath>
      <w:r w:rsidR="009D3F4F" w:rsidRPr="009D3F4F">
        <w:rPr>
          <w:rFonts w:ascii="Times New Roman" w:eastAsiaTheme="minorEastAsia" w:hAnsi="Times New Roman" w:cs="Times New Roman"/>
          <w:lang w:val="en-GB"/>
        </w:rPr>
        <w:t xml:space="preserve"> </w:t>
      </w:r>
      <w:r w:rsidR="009D3F4F">
        <w:rPr>
          <w:rFonts w:ascii="Times New Roman" w:eastAsiaTheme="minorEastAsia" w:hAnsi="Times New Roman" w:cs="Times New Roman"/>
          <w:lang w:val="en-GB"/>
        </w:rPr>
        <w:t xml:space="preserve">in </w:t>
      </w:r>
      <w:r w:rsidR="009D3F4F" w:rsidRPr="007F631C">
        <w:rPr>
          <w:rFonts w:ascii="Times New Roman" w:eastAsiaTheme="minorEastAsia" w:hAnsi="Times New Roman" w:cs="Times New Roman"/>
          <w:i/>
          <w:iCs/>
          <w:lang w:val="en-GB"/>
        </w:rPr>
        <w:t>A</w:t>
      </w:r>
      <w:r w:rsidR="007F631C">
        <w:rPr>
          <w:rFonts w:ascii="Times New Roman" w:eastAsiaTheme="minorEastAsia" w:hAnsi="Times New Roman" w:cs="Times New Roman"/>
          <w:lang w:val="en-GB"/>
        </w:rPr>
        <w:t xml:space="preserve">, </w:t>
      </w:r>
      <w:r w:rsidR="00977E11">
        <w:rPr>
          <w:rFonts w:ascii="Times New Roman" w:eastAsiaTheme="minorEastAsia" w:hAnsi="Times New Roman" w:cs="Times New Roman"/>
          <w:lang w:val="en-GB"/>
        </w:rPr>
        <w:t xml:space="preserve">an increase in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hAnsi="Cambria Math" w:cs="Times New Roman"/>
            <w:lang w:val="en-GB"/>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oMath>
      <w:r w:rsidR="00977E11" w:rsidRPr="00977E11">
        <w:rPr>
          <w:rFonts w:ascii="Times New Roman" w:eastAsiaTheme="minorEastAsia" w:hAnsi="Times New Roman" w:cs="Times New Roman"/>
          <w:lang w:val="en-GB"/>
        </w:rPr>
        <w:t xml:space="preserve"> </w:t>
      </w:r>
      <w:r w:rsidR="00C72D5D">
        <w:rPr>
          <w:rFonts w:ascii="Times New Roman" w:eastAsiaTheme="minorEastAsia" w:hAnsi="Times New Roman" w:cs="Times New Roman"/>
          <w:lang w:val="en-GB"/>
        </w:rPr>
        <w:t xml:space="preserve">implies that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hAnsi="Cambria Math" w:cs="Times New Roman"/>
            <w:lang w:val="en-GB"/>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r>
          <w:rPr>
            <w:rFonts w:ascii="Cambria Math" w:hAnsi="Cambria Math" w:cs="Times New Roman"/>
            <w:lang w:val="en-GB"/>
          </w:rPr>
          <m:t>&gt;</m:t>
        </m:r>
      </m:oMath>
      <w:r w:rsidR="0014250F" w:rsidRPr="0014250F">
        <w:rPr>
          <w:rFonts w:ascii="Times New Roman" w:eastAsiaTheme="minorEastAsia" w:hAnsi="Times New Roman" w:cs="Times New Roman"/>
          <w:lang w:val="en-GB"/>
        </w:rPr>
        <w:t xml:space="preserve"> </w:t>
      </w:r>
      <m:oMath>
        <m:sSub>
          <m:sSubPr>
            <m:ctrlPr>
              <w:rPr>
                <w:rFonts w:ascii="Cambria Math" w:hAnsi="Cambria Math" w:cs="Times New Roman"/>
                <w:i/>
              </w:rPr>
            </m:ctrlPr>
          </m:sSubPr>
          <m:e>
            <m:r>
              <w:rPr>
                <w:rFonts w:ascii="Cambria Math" w:hAnsi="Cambria Math" w:cs="Times New Roman"/>
              </w:rPr>
              <m:t>MP</m:t>
            </m:r>
          </m:e>
          <m:sub>
            <m:r>
              <w:rPr>
                <w:rFonts w:ascii="Cambria Math" w:hAnsi="Cambria Math" w:cs="Times New Roman"/>
              </w:rPr>
              <m:t>T</m:t>
            </m:r>
          </m:sub>
        </m:sSub>
        <m:r>
          <w:rPr>
            <w:rFonts w:ascii="Cambria Math" w:hAnsi="Cambria Math" w:cs="Times New Roman"/>
            <w:lang w:val="en-GB"/>
          </w:rPr>
          <m:t>/</m:t>
        </m:r>
        <m:sSub>
          <m:sSubPr>
            <m:ctrlPr>
              <w:rPr>
                <w:rFonts w:ascii="Cambria Math" w:hAnsi="Cambria Math" w:cs="Times New Roman"/>
                <w:i/>
              </w:rPr>
            </m:ctrlPr>
          </m:sSubPr>
          <m:e>
            <m:r>
              <w:rPr>
                <w:rFonts w:ascii="Cambria Math" w:hAnsi="Cambria Math" w:cs="Times New Roman"/>
              </w:rPr>
              <m:t>MP</m:t>
            </m:r>
          </m:e>
          <m:sub>
            <m:r>
              <w:rPr>
                <w:rFonts w:ascii="Cambria Math" w:hAnsi="Cambria Math" w:cs="Times New Roman"/>
              </w:rPr>
              <m:t>N</m:t>
            </m:r>
          </m:sub>
        </m:sSub>
      </m:oMath>
      <w:r w:rsidR="0099365D" w:rsidRPr="0099365D">
        <w:rPr>
          <w:rFonts w:ascii="Times New Roman" w:eastAsiaTheme="minorEastAsia" w:hAnsi="Times New Roman" w:cs="Times New Roman"/>
          <w:lang w:val="en-GB"/>
        </w:rPr>
        <w:t xml:space="preserve"> </w:t>
      </w:r>
      <w:r w:rsidR="0099365D">
        <w:rPr>
          <w:rFonts w:ascii="Times New Roman" w:eastAsiaTheme="minorEastAsia" w:hAnsi="Times New Roman" w:cs="Times New Roman"/>
          <w:lang w:val="en-GB"/>
        </w:rPr>
        <w:t xml:space="preserve">if the economy stays there. </w:t>
      </w:r>
      <w:r w:rsidR="00DF1DB6">
        <w:rPr>
          <w:rFonts w:ascii="Times New Roman" w:eastAsiaTheme="minorEastAsia" w:hAnsi="Times New Roman" w:cs="Times New Roman"/>
          <w:lang w:val="en-GB"/>
        </w:rPr>
        <w:t>This is inefficient as then</w:t>
      </w:r>
      <w:r w:rsidR="0099365D">
        <w:rPr>
          <w:rFonts w:ascii="Times New Roman" w:eastAsiaTheme="minorEastAsia" w:hAnsi="Times New Roman" w:cs="Times New Roman"/>
          <w:lang w:val="en-GB"/>
        </w:rPr>
        <w:t xml:space="preserv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hAnsi="Cambria Math" w:cs="Times New Roman"/>
            <w:lang w:val="en-GB"/>
          </w:rPr>
          <m:t>×</m:t>
        </m:r>
      </m:oMath>
      <w:r w:rsidR="00732BF0" w:rsidRPr="00343797">
        <w:rPr>
          <w:rFonts w:ascii="Times New Roman" w:eastAsiaTheme="minorEastAsia" w:hAnsi="Times New Roman" w:cs="Times New Roman"/>
          <w:lang w:val="en-GB"/>
        </w:rPr>
        <w:t xml:space="preserve"> </w:t>
      </w:r>
      <m:oMath>
        <m:sSub>
          <m:sSubPr>
            <m:ctrlPr>
              <w:rPr>
                <w:rFonts w:ascii="Cambria Math" w:hAnsi="Cambria Math" w:cs="Times New Roman"/>
                <w:i/>
              </w:rPr>
            </m:ctrlPr>
          </m:sSubPr>
          <m:e>
            <m:r>
              <w:rPr>
                <w:rFonts w:ascii="Cambria Math" w:hAnsi="Cambria Math" w:cs="Times New Roman"/>
              </w:rPr>
              <m:t>MP</m:t>
            </m:r>
          </m:e>
          <m:sub>
            <m:r>
              <w:rPr>
                <w:rFonts w:ascii="Cambria Math" w:hAnsi="Cambria Math" w:cs="Times New Roman"/>
              </w:rPr>
              <m:t>N</m:t>
            </m:r>
          </m:sub>
        </m:sSub>
        <m:r>
          <w:rPr>
            <w:rFonts w:ascii="Cambria Math" w:hAnsi="Cambria Math" w:cs="Times New Roman"/>
            <w:lang w:val="en-GB"/>
          </w:rPr>
          <m:t>&gt;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r>
          <w:rPr>
            <w:rFonts w:ascii="Cambria Math" w:hAnsi="Cambria Math" w:cs="Times New Roman"/>
            <w:lang w:val="en-GB"/>
          </w:rPr>
          <m:t>×</m:t>
        </m:r>
      </m:oMath>
      <w:r w:rsidR="00B516C7" w:rsidRPr="00343797">
        <w:rPr>
          <w:rFonts w:ascii="Times New Roman" w:eastAsiaTheme="minorEastAsia" w:hAnsi="Times New Roman" w:cs="Times New Roman"/>
          <w:lang w:val="en-GB"/>
        </w:rPr>
        <w:t xml:space="preserve"> </w:t>
      </w:r>
      <m:oMath>
        <m:sSub>
          <m:sSubPr>
            <m:ctrlPr>
              <w:rPr>
                <w:rFonts w:ascii="Cambria Math" w:hAnsi="Cambria Math" w:cs="Times New Roman"/>
                <w:i/>
              </w:rPr>
            </m:ctrlPr>
          </m:sSubPr>
          <m:e>
            <m:r>
              <w:rPr>
                <w:rFonts w:ascii="Cambria Math" w:hAnsi="Cambria Math" w:cs="Times New Roman"/>
              </w:rPr>
              <m:t>MP</m:t>
            </m:r>
          </m:e>
          <m:sub>
            <m:r>
              <w:rPr>
                <w:rFonts w:ascii="Cambria Math" w:hAnsi="Cambria Math" w:cs="Times New Roman"/>
              </w:rPr>
              <m:t>T</m:t>
            </m:r>
          </m:sub>
        </m:sSub>
      </m:oMath>
      <w:r w:rsidR="00E2723F" w:rsidRPr="00E2723F">
        <w:rPr>
          <w:rFonts w:ascii="Times New Roman" w:eastAsiaTheme="minorEastAsia" w:hAnsi="Times New Roman" w:cs="Times New Roman"/>
          <w:lang w:val="en-GB"/>
        </w:rPr>
        <w:t xml:space="preserve">, </w:t>
      </w:r>
      <w:r w:rsidR="00DF1DB6">
        <w:rPr>
          <w:rFonts w:ascii="Times New Roman" w:eastAsiaTheme="minorEastAsia" w:hAnsi="Times New Roman" w:cs="Times New Roman"/>
          <w:lang w:val="en-GB"/>
        </w:rPr>
        <w:t xml:space="preserve">which implies that </w:t>
      </w:r>
      <w:r w:rsidR="00E435CC">
        <w:rPr>
          <w:rFonts w:ascii="Times New Roman" w:eastAsiaTheme="minorEastAsia" w:hAnsi="Times New Roman" w:cs="Times New Roman"/>
          <w:lang w:val="en-GB"/>
        </w:rPr>
        <w:t>the total value of production would be larger if labour was reallocated.</w:t>
      </w:r>
      <w:r w:rsidR="00E2723F">
        <w:rPr>
          <w:rFonts w:ascii="Times New Roman" w:eastAsiaTheme="minorEastAsia" w:hAnsi="Times New Roman" w:cs="Times New Roman"/>
          <w:lang w:val="en-GB"/>
        </w:rPr>
        <w:t xml:space="preserve"> </w:t>
      </w:r>
    </w:p>
  </w:footnote>
  <w:footnote w:id="41">
    <w:p w14:paraId="6DB1E968" w14:textId="29DA19C6" w:rsidR="00693B25" w:rsidRPr="00255E2D" w:rsidRDefault="00693B25">
      <w:pPr>
        <w:pStyle w:val="FootnoteText"/>
        <w:rPr>
          <w:lang w:val="en-GB"/>
        </w:rPr>
      </w:pPr>
      <w:r>
        <w:rPr>
          <w:rStyle w:val="FootnoteReference"/>
        </w:rPr>
        <w:footnoteRef/>
      </w:r>
      <w:r w:rsidRPr="00F07EE3">
        <w:rPr>
          <w:lang w:val="en-GB"/>
        </w:rPr>
        <w:t xml:space="preserve"> </w:t>
      </w:r>
      <w:r w:rsidR="00E5749C" w:rsidRPr="00F07EE3">
        <w:rPr>
          <w:rFonts w:ascii="Times New Roman" w:hAnsi="Times New Roman" w:cs="Times New Roman"/>
          <w:lang w:val="en-GB"/>
        </w:rPr>
        <w:t xml:space="preserve">Calmfors and Viotti (1982) and </w:t>
      </w:r>
      <w:r w:rsidR="00F70EEE" w:rsidRPr="00F07EE3">
        <w:rPr>
          <w:rFonts w:ascii="Times New Roman" w:hAnsi="Times New Roman" w:cs="Times New Roman"/>
          <w:lang w:val="en-GB"/>
        </w:rPr>
        <w:t>Arbetsmarknadsekonomiska rådet (2017)</w:t>
      </w:r>
      <w:r w:rsidR="00F07EE3" w:rsidRPr="00F07EE3">
        <w:rPr>
          <w:rFonts w:ascii="Times New Roman" w:hAnsi="Times New Roman" w:cs="Times New Roman"/>
          <w:lang w:val="en-GB"/>
        </w:rPr>
        <w:t xml:space="preserve"> sh</w:t>
      </w:r>
      <w:r w:rsidR="00F07EE3">
        <w:rPr>
          <w:rFonts w:ascii="Times New Roman" w:hAnsi="Times New Roman" w:cs="Times New Roman"/>
          <w:lang w:val="en-GB"/>
        </w:rPr>
        <w:t xml:space="preserve">ow </w:t>
      </w:r>
      <w:r w:rsidR="00255E2D" w:rsidRPr="002846D4">
        <w:rPr>
          <w:rFonts w:ascii="Times New Roman" w:hAnsi="Times New Roman" w:cs="Times New Roman"/>
          <w:lang w:val="en-GB"/>
        </w:rPr>
        <w:t>that</w:t>
      </w:r>
      <w:r w:rsidR="008A20A5" w:rsidRPr="002846D4">
        <w:rPr>
          <w:rFonts w:ascii="Times New Roman" w:hAnsi="Times New Roman" w:cs="Times New Roman"/>
          <w:lang w:val="en-GB"/>
        </w:rPr>
        <w:t xml:space="preserve">, </w:t>
      </w:r>
      <w:r w:rsidR="00970D21">
        <w:rPr>
          <w:rFonts w:ascii="Times New Roman" w:hAnsi="Times New Roman" w:cs="Times New Roman"/>
          <w:lang w:val="en-GB"/>
        </w:rPr>
        <w:t>with</w:t>
      </w:r>
      <w:r w:rsidR="008A20A5" w:rsidRPr="002846D4">
        <w:rPr>
          <w:rFonts w:ascii="Times New Roman" w:hAnsi="Times New Roman" w:cs="Times New Roman"/>
          <w:lang w:val="en-GB"/>
        </w:rPr>
        <w:t xml:space="preserve"> equal </w:t>
      </w:r>
      <w:r w:rsidR="009E1BC7" w:rsidRPr="002846D4">
        <w:rPr>
          <w:rFonts w:ascii="Times New Roman" w:hAnsi="Times New Roman" w:cs="Times New Roman"/>
          <w:lang w:val="en-GB"/>
        </w:rPr>
        <w:t>labour demand elasticities</w:t>
      </w:r>
      <w:r w:rsidR="00D07F32" w:rsidRPr="002846D4">
        <w:rPr>
          <w:rFonts w:ascii="Times New Roman" w:hAnsi="Times New Roman" w:cs="Times New Roman"/>
          <w:lang w:val="en-GB"/>
        </w:rPr>
        <w:t xml:space="preserve"> in the two sectors</w:t>
      </w:r>
      <w:r w:rsidR="009E1BC7" w:rsidRPr="002846D4">
        <w:rPr>
          <w:rFonts w:ascii="Times New Roman" w:hAnsi="Times New Roman" w:cs="Times New Roman"/>
          <w:lang w:val="en-GB"/>
        </w:rPr>
        <w:t>,</w:t>
      </w:r>
      <w:r w:rsidR="00255E2D" w:rsidRPr="002846D4">
        <w:rPr>
          <w:rFonts w:ascii="Times New Roman" w:hAnsi="Times New Roman" w:cs="Times New Roman"/>
          <w:lang w:val="en-GB"/>
        </w:rPr>
        <w:t xml:space="preserve"> a </w:t>
      </w:r>
      <w:r w:rsidR="009A509F" w:rsidRPr="002846D4">
        <w:rPr>
          <w:rFonts w:ascii="Times New Roman" w:hAnsi="Times New Roman" w:cs="Times New Roman"/>
          <w:lang w:val="en-GB"/>
        </w:rPr>
        <w:t xml:space="preserve">change in the </w:t>
      </w:r>
      <w:r w:rsidR="00255E2D" w:rsidRPr="002846D4">
        <w:rPr>
          <w:rFonts w:ascii="Times New Roman" w:hAnsi="Times New Roman" w:cs="Times New Roman"/>
          <w:lang w:val="en-GB"/>
        </w:rPr>
        <w:t xml:space="preserve">relative price </w:t>
      </w:r>
      <w:r w:rsidR="002124A0" w:rsidRPr="002846D4">
        <w:rPr>
          <w:rFonts w:ascii="Times New Roman" w:hAnsi="Times New Roman" w:cs="Times New Roman"/>
          <w:lang w:val="en-GB"/>
        </w:rPr>
        <w:t xml:space="preserve">would result in unchanged total </w:t>
      </w:r>
      <w:r w:rsidR="005B0C92">
        <w:rPr>
          <w:rFonts w:ascii="Times New Roman" w:hAnsi="Times New Roman" w:cs="Times New Roman"/>
          <w:lang w:val="en-GB"/>
        </w:rPr>
        <w:t xml:space="preserve">labour </w:t>
      </w:r>
      <w:r w:rsidR="002124A0" w:rsidRPr="002846D4">
        <w:rPr>
          <w:rFonts w:ascii="Times New Roman" w:hAnsi="Times New Roman" w:cs="Times New Roman"/>
          <w:lang w:val="en-GB"/>
        </w:rPr>
        <w:t>demand if the weights a</w:t>
      </w:r>
      <w:r w:rsidR="006D71FD" w:rsidRPr="002846D4">
        <w:rPr>
          <w:rFonts w:ascii="Times New Roman" w:hAnsi="Times New Roman" w:cs="Times New Roman"/>
          <w:lang w:val="en-GB"/>
        </w:rPr>
        <w:t xml:space="preserve">re the </w:t>
      </w:r>
      <w:r w:rsidR="00BF66B6" w:rsidRPr="002846D4">
        <w:rPr>
          <w:rFonts w:ascii="Times New Roman" w:hAnsi="Times New Roman" w:cs="Times New Roman"/>
          <w:lang w:val="en-GB"/>
        </w:rPr>
        <w:t>sectors’  shares in total employment</w:t>
      </w:r>
      <w:r w:rsidR="00D07F32">
        <w:rPr>
          <w:lang w:val="en-GB"/>
        </w:rPr>
        <w:t>.</w:t>
      </w:r>
      <w:r w:rsidR="00BF66B6">
        <w:rPr>
          <w:lang w:val="en-GB"/>
        </w:rPr>
        <w:t xml:space="preserve"> </w:t>
      </w:r>
      <w:r w:rsidR="006D71FD">
        <w:rPr>
          <w:lang w:val="en-GB"/>
        </w:rPr>
        <w:t xml:space="preserve"> </w:t>
      </w:r>
    </w:p>
  </w:footnote>
  <w:footnote w:id="42">
    <w:p w14:paraId="519E7DCD" w14:textId="7AED7EAD" w:rsidR="00D01557" w:rsidRPr="006330F1" w:rsidRDefault="00D01557">
      <w:pPr>
        <w:pStyle w:val="FootnoteText"/>
        <w:rPr>
          <w:rFonts w:ascii="Times New Roman" w:hAnsi="Times New Roman" w:cs="Times New Roman"/>
          <w:lang w:val="en-GB"/>
        </w:rPr>
      </w:pPr>
      <w:r>
        <w:rPr>
          <w:rStyle w:val="FootnoteReference"/>
        </w:rPr>
        <w:footnoteRef/>
      </w:r>
      <w:r w:rsidRPr="0030449A">
        <w:rPr>
          <w:lang w:val="en-GB"/>
        </w:rPr>
        <w:t xml:space="preserve"> </w:t>
      </w:r>
      <w:r w:rsidR="0030449A" w:rsidRPr="006330F1">
        <w:rPr>
          <w:rFonts w:ascii="Times New Roman" w:hAnsi="Times New Roman" w:cs="Times New Roman"/>
          <w:lang w:val="en-GB"/>
        </w:rPr>
        <w:t xml:space="preserve">Holden IV-utvalget finds no relationship between </w:t>
      </w:r>
      <w:r w:rsidR="00651DDB" w:rsidRPr="006330F1">
        <w:rPr>
          <w:rFonts w:ascii="Times New Roman" w:hAnsi="Times New Roman" w:cs="Times New Roman"/>
          <w:lang w:val="en-GB"/>
        </w:rPr>
        <w:t>wage and employment growth in various industries</w:t>
      </w:r>
      <w:r w:rsidR="009F753F" w:rsidRPr="006330F1">
        <w:rPr>
          <w:rFonts w:ascii="Times New Roman" w:hAnsi="Times New Roman" w:cs="Times New Roman"/>
          <w:lang w:val="en-GB"/>
        </w:rPr>
        <w:t xml:space="preserve"> in Norway</w:t>
      </w:r>
      <w:r w:rsidR="00651DDB" w:rsidRPr="006330F1">
        <w:rPr>
          <w:rFonts w:ascii="Times New Roman" w:hAnsi="Times New Roman" w:cs="Times New Roman"/>
          <w:lang w:val="en-GB"/>
        </w:rPr>
        <w:t xml:space="preserve"> over the period</w:t>
      </w:r>
      <w:r w:rsidR="006E63E4" w:rsidRPr="006330F1">
        <w:rPr>
          <w:rFonts w:ascii="Times New Roman" w:hAnsi="Times New Roman" w:cs="Times New Roman"/>
          <w:lang w:val="en-GB"/>
        </w:rPr>
        <w:t>s</w:t>
      </w:r>
      <w:r w:rsidR="00651DDB" w:rsidRPr="006330F1">
        <w:rPr>
          <w:rFonts w:ascii="Times New Roman" w:hAnsi="Times New Roman" w:cs="Times New Roman"/>
          <w:lang w:val="en-GB"/>
        </w:rPr>
        <w:t xml:space="preserve"> 1970</w:t>
      </w:r>
      <w:r w:rsidR="006E63E4" w:rsidRPr="006330F1">
        <w:rPr>
          <w:rFonts w:ascii="Times New Roman" w:hAnsi="Times New Roman" w:cs="Times New Roman"/>
          <w:lang w:val="en-GB"/>
        </w:rPr>
        <w:t>–</w:t>
      </w:r>
      <w:r w:rsidR="00704D08" w:rsidRPr="006330F1">
        <w:rPr>
          <w:rFonts w:ascii="Times New Roman" w:hAnsi="Times New Roman" w:cs="Times New Roman"/>
          <w:lang w:val="en-GB"/>
        </w:rPr>
        <w:t xml:space="preserve">2000 and 2000– </w:t>
      </w:r>
      <w:r w:rsidR="009F753F" w:rsidRPr="006330F1">
        <w:rPr>
          <w:rFonts w:ascii="Times New Roman" w:hAnsi="Times New Roman" w:cs="Times New Roman"/>
          <w:lang w:val="en-GB"/>
        </w:rPr>
        <w:t>22.</w:t>
      </w:r>
      <w:r w:rsidR="00704D08" w:rsidRPr="006330F1">
        <w:rPr>
          <w:rFonts w:ascii="Times New Roman" w:hAnsi="Times New Roman" w:cs="Times New Roman"/>
          <w:lang w:val="en-GB"/>
        </w:rPr>
        <w:t xml:space="preserve"> </w:t>
      </w:r>
    </w:p>
  </w:footnote>
  <w:footnote w:id="43">
    <w:p w14:paraId="38C8108E" w14:textId="0F0C7D71" w:rsidR="00D24436" w:rsidRPr="0035112D" w:rsidRDefault="00D24436">
      <w:pPr>
        <w:pStyle w:val="FootnoteText"/>
        <w:rPr>
          <w:rFonts w:ascii="Times New Roman" w:hAnsi="Times New Roman" w:cs="Times New Roman"/>
          <w:lang w:val="en-GB"/>
        </w:rPr>
      </w:pPr>
      <w:r w:rsidRPr="0035112D">
        <w:rPr>
          <w:rStyle w:val="FootnoteReference"/>
          <w:rFonts w:ascii="Times New Roman" w:hAnsi="Times New Roman" w:cs="Times New Roman"/>
        </w:rPr>
        <w:footnoteRef/>
      </w:r>
      <w:r w:rsidRPr="0035112D">
        <w:rPr>
          <w:rFonts w:ascii="Times New Roman" w:hAnsi="Times New Roman" w:cs="Times New Roman"/>
          <w:lang w:val="en-GB"/>
        </w:rPr>
        <w:t xml:space="preserve"> Both these approaches have been proposed in the Swedish case by Arbetsmarknadsekonomiska rådet (2017), Calmfors (2018) and Calmfors et al. (2019). In Norway, a widening of the pattern-setting bargaining area (</w:t>
      </w:r>
      <w:r w:rsidRPr="0035112D">
        <w:rPr>
          <w:rFonts w:ascii="Times New Roman" w:hAnsi="Times New Roman" w:cs="Times New Roman"/>
          <w:i/>
          <w:iCs/>
          <w:lang w:val="en-GB"/>
        </w:rPr>
        <w:t>frontfaget</w:t>
      </w:r>
      <w:r w:rsidRPr="0035112D">
        <w:rPr>
          <w:rFonts w:ascii="Times New Roman" w:hAnsi="Times New Roman" w:cs="Times New Roman"/>
          <w:lang w:val="en-GB"/>
        </w:rPr>
        <w:t xml:space="preserve">) </w:t>
      </w:r>
      <w:r w:rsidR="0035112D" w:rsidRPr="0035112D">
        <w:rPr>
          <w:rFonts w:ascii="Times New Roman" w:hAnsi="Times New Roman" w:cs="Times New Roman"/>
          <w:lang w:val="en-GB"/>
        </w:rPr>
        <w:t xml:space="preserve">by including also other </w:t>
      </w:r>
      <w:r w:rsidR="0035112D" w:rsidRPr="00362867">
        <w:rPr>
          <w:rFonts w:ascii="Times New Roman" w:hAnsi="Times New Roman" w:cs="Times New Roman"/>
          <w:i/>
          <w:iCs/>
          <w:lang w:val="en-GB"/>
        </w:rPr>
        <w:t>tradables</w:t>
      </w:r>
      <w:r w:rsidR="0035112D" w:rsidRPr="0035112D">
        <w:rPr>
          <w:rFonts w:ascii="Times New Roman" w:hAnsi="Times New Roman" w:cs="Times New Roman"/>
          <w:lang w:val="en-GB"/>
        </w:rPr>
        <w:t xml:space="preserve"> industries, </w:t>
      </w:r>
      <w:r w:rsidRPr="0035112D">
        <w:rPr>
          <w:rFonts w:ascii="Times New Roman" w:hAnsi="Times New Roman" w:cs="Times New Roman"/>
          <w:lang w:val="en-GB"/>
        </w:rPr>
        <w:t xml:space="preserve">was discussed, but not proposed, in </w:t>
      </w:r>
      <w:r w:rsidR="0035112D" w:rsidRPr="0035112D">
        <w:rPr>
          <w:rFonts w:ascii="Times New Roman" w:hAnsi="Times New Roman" w:cs="Times New Roman"/>
          <w:lang w:val="en-GB"/>
        </w:rPr>
        <w:t>Holden III-utvalget (2013) and Holden IV-utvalget (2023)</w:t>
      </w:r>
    </w:p>
  </w:footnote>
  <w:footnote w:id="44">
    <w:p w14:paraId="173943F1" w14:textId="3C7D6CF8" w:rsidR="003476DE" w:rsidRPr="008E6342" w:rsidRDefault="003476DE">
      <w:pPr>
        <w:pStyle w:val="FootnoteText"/>
        <w:rPr>
          <w:rFonts w:ascii="Times New Roman" w:hAnsi="Times New Roman" w:cs="Times New Roman"/>
          <w:lang w:val="en-GB"/>
        </w:rPr>
      </w:pPr>
      <w:r w:rsidRPr="008E6342">
        <w:rPr>
          <w:rStyle w:val="FootnoteReference"/>
          <w:rFonts w:ascii="Times New Roman" w:hAnsi="Times New Roman" w:cs="Times New Roman"/>
        </w:rPr>
        <w:footnoteRef/>
      </w:r>
      <w:r w:rsidR="00D40BED" w:rsidRPr="008E6342">
        <w:rPr>
          <w:rFonts w:ascii="Times New Roman" w:hAnsi="Times New Roman" w:cs="Times New Roman"/>
          <w:lang w:val="en-GB"/>
        </w:rPr>
        <w:t xml:space="preserve"> Equation (A.7) </w:t>
      </w:r>
      <w:r w:rsidR="00640C1A" w:rsidRPr="008E6342">
        <w:rPr>
          <w:rFonts w:ascii="Times New Roman" w:hAnsi="Times New Roman" w:cs="Times New Roman"/>
          <w:lang w:val="en-GB"/>
        </w:rPr>
        <w:t xml:space="preserve">has to be modified if price increases differ between </w:t>
      </w:r>
      <w:r w:rsidR="00DC528F" w:rsidRPr="008E6342">
        <w:rPr>
          <w:rFonts w:ascii="Times New Roman" w:hAnsi="Times New Roman" w:cs="Times New Roman"/>
          <w:lang w:val="en-GB"/>
        </w:rPr>
        <w:t>domestically produced and imported t</w:t>
      </w:r>
      <w:r w:rsidR="00CC0361" w:rsidRPr="008E6342">
        <w:rPr>
          <w:rFonts w:ascii="Times New Roman" w:hAnsi="Times New Roman" w:cs="Times New Roman"/>
          <w:lang w:val="en-GB"/>
        </w:rPr>
        <w:t>radables (see</w:t>
      </w:r>
      <w:r w:rsidR="00F47EB8" w:rsidRPr="008E6342">
        <w:rPr>
          <w:rFonts w:ascii="Times New Roman" w:hAnsi="Times New Roman" w:cs="Times New Roman"/>
          <w:lang w:val="en-GB"/>
        </w:rPr>
        <w:t xml:space="preserve"> e.g.</w:t>
      </w:r>
      <w:r w:rsidR="00CC0361" w:rsidRPr="008E6342">
        <w:rPr>
          <w:rFonts w:ascii="Times New Roman" w:hAnsi="Times New Roman" w:cs="Times New Roman"/>
          <w:lang w:val="en-GB"/>
        </w:rPr>
        <w:t xml:space="preserve"> </w:t>
      </w:r>
      <w:r w:rsidR="005C1C1A" w:rsidRPr="008E6342">
        <w:rPr>
          <w:rFonts w:ascii="Times New Roman" w:hAnsi="Times New Roman" w:cs="Times New Roman"/>
          <w:lang w:val="en-GB"/>
        </w:rPr>
        <w:t>Holden III-utvalget 2013</w:t>
      </w:r>
      <w:r w:rsidR="00F47EB8" w:rsidRPr="008E6342">
        <w:rPr>
          <w:rFonts w:ascii="Times New Roman" w:hAnsi="Times New Roman" w:cs="Times New Roman"/>
          <w:lang w:val="en-GB"/>
        </w:rPr>
        <w:t>, vedlegg 1).</w:t>
      </w:r>
      <w:r w:rsidR="006C56D0" w:rsidRPr="008E6342">
        <w:rPr>
          <w:rFonts w:ascii="Times New Roman" w:hAnsi="Times New Roman" w:cs="Times New Roman"/>
          <w:lang w:val="en-GB"/>
        </w:rPr>
        <w:t xml:space="preserve"> Other modifications have to be done if there is not full pass-through om exchange rate changes </w:t>
      </w:r>
      <w:r w:rsidR="00932308" w:rsidRPr="008E6342">
        <w:rPr>
          <w:rFonts w:ascii="Times New Roman" w:hAnsi="Times New Roman" w:cs="Times New Roman"/>
          <w:lang w:val="en-GB"/>
        </w:rPr>
        <w:t xml:space="preserve">on the domestic-currency price of tradables or </w:t>
      </w:r>
      <w:r w:rsidR="00D665E4" w:rsidRPr="008E6342">
        <w:rPr>
          <w:rFonts w:ascii="Times New Roman" w:hAnsi="Times New Roman" w:cs="Times New Roman"/>
          <w:lang w:val="en-GB"/>
        </w:rPr>
        <w:t xml:space="preserve">if the price </w:t>
      </w:r>
      <w:r w:rsidR="000734EB" w:rsidRPr="008E6342">
        <w:rPr>
          <w:rFonts w:ascii="Times New Roman" w:hAnsi="Times New Roman" w:cs="Times New Roman"/>
          <w:lang w:val="en-GB"/>
        </w:rPr>
        <w:t xml:space="preserve">increase of nontradables deviate form the increase in </w:t>
      </w:r>
      <w:r w:rsidR="002C59BF" w:rsidRPr="008E6342">
        <w:rPr>
          <w:rFonts w:ascii="Times New Roman" w:hAnsi="Times New Roman" w:cs="Times New Roman"/>
          <w:lang w:val="en-GB"/>
        </w:rPr>
        <w:t xml:space="preserve">the unit labour cost (the difference between </w:t>
      </w:r>
      <w:r w:rsidR="007C619D" w:rsidRPr="008E6342">
        <w:rPr>
          <w:rFonts w:ascii="Times New Roman" w:hAnsi="Times New Roman" w:cs="Times New Roman"/>
          <w:lang w:val="en-GB"/>
        </w:rPr>
        <w:t xml:space="preserve">the </w:t>
      </w:r>
      <w:r w:rsidR="002C59BF" w:rsidRPr="008E6342">
        <w:rPr>
          <w:rFonts w:ascii="Times New Roman" w:hAnsi="Times New Roman" w:cs="Times New Roman"/>
          <w:lang w:val="en-GB"/>
        </w:rPr>
        <w:t xml:space="preserve">wage and </w:t>
      </w:r>
      <w:r w:rsidR="007C619D" w:rsidRPr="008E6342">
        <w:rPr>
          <w:rFonts w:ascii="Times New Roman" w:hAnsi="Times New Roman" w:cs="Times New Roman"/>
          <w:lang w:val="en-GB"/>
        </w:rPr>
        <w:t xml:space="preserve">the </w:t>
      </w:r>
      <w:r w:rsidR="002C59BF" w:rsidRPr="008E6342">
        <w:rPr>
          <w:rFonts w:ascii="Times New Roman" w:hAnsi="Times New Roman" w:cs="Times New Roman"/>
          <w:lang w:val="en-GB"/>
        </w:rPr>
        <w:t>productivity</w:t>
      </w:r>
      <w:r w:rsidR="007C619D" w:rsidRPr="008E6342">
        <w:rPr>
          <w:rFonts w:ascii="Times New Roman" w:hAnsi="Times New Roman" w:cs="Times New Roman"/>
          <w:lang w:val="en-GB"/>
        </w:rPr>
        <w:t xml:space="preserve"> increase).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611531"/>
      <w:docPartObj>
        <w:docPartGallery w:val="Page Numbers (Top of Page)"/>
        <w:docPartUnique/>
      </w:docPartObj>
    </w:sdtPr>
    <w:sdtContent>
      <w:p w14:paraId="26F5B1F4" w14:textId="5C398FF0" w:rsidR="00054D8C" w:rsidRDefault="00054D8C">
        <w:pPr>
          <w:pStyle w:val="Header"/>
          <w:jc w:val="right"/>
        </w:pPr>
        <w:r>
          <w:fldChar w:fldCharType="begin"/>
        </w:r>
        <w:r>
          <w:instrText>PAGE   \* MERGEFORMAT</w:instrText>
        </w:r>
        <w:r>
          <w:fldChar w:fldCharType="separate"/>
        </w:r>
        <w:r>
          <w:t>2</w:t>
        </w:r>
        <w:r>
          <w:fldChar w:fldCharType="end"/>
        </w:r>
      </w:p>
    </w:sdtContent>
  </w:sdt>
  <w:p w14:paraId="03BDBA94" w14:textId="77777777" w:rsidR="00054D8C" w:rsidRDefault="00054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E3DB9"/>
    <w:multiLevelType w:val="hybridMultilevel"/>
    <w:tmpl w:val="01963F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BB51673"/>
    <w:multiLevelType w:val="hybridMultilevel"/>
    <w:tmpl w:val="F9A6DEA0"/>
    <w:lvl w:ilvl="0" w:tplc="58C869BE">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6EA6769"/>
    <w:multiLevelType w:val="hybridMultilevel"/>
    <w:tmpl w:val="DA1A92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DD2525B"/>
    <w:multiLevelType w:val="hybridMultilevel"/>
    <w:tmpl w:val="6AF6EA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EC66642"/>
    <w:multiLevelType w:val="hybridMultilevel"/>
    <w:tmpl w:val="83AE22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4EA141E"/>
    <w:multiLevelType w:val="hybridMultilevel"/>
    <w:tmpl w:val="D01EAF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9B72557"/>
    <w:multiLevelType w:val="hybridMultilevel"/>
    <w:tmpl w:val="87B6B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43416214">
    <w:abstractNumId w:val="0"/>
  </w:num>
  <w:num w:numId="2" w16cid:durableId="1308630155">
    <w:abstractNumId w:val="1"/>
  </w:num>
  <w:num w:numId="3" w16cid:durableId="774250986">
    <w:abstractNumId w:val="4"/>
  </w:num>
  <w:num w:numId="4" w16cid:durableId="365519329">
    <w:abstractNumId w:val="6"/>
  </w:num>
  <w:num w:numId="5" w16cid:durableId="2000573718">
    <w:abstractNumId w:val="2"/>
  </w:num>
  <w:num w:numId="6" w16cid:durableId="1103841023">
    <w:abstractNumId w:val="5"/>
  </w:num>
  <w:num w:numId="7" w16cid:durableId="693193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54"/>
    <w:rsid w:val="0000047F"/>
    <w:rsid w:val="00001292"/>
    <w:rsid w:val="000023ED"/>
    <w:rsid w:val="00002913"/>
    <w:rsid w:val="00002B90"/>
    <w:rsid w:val="00002EBA"/>
    <w:rsid w:val="00002EF0"/>
    <w:rsid w:val="000035B9"/>
    <w:rsid w:val="000040D4"/>
    <w:rsid w:val="000046BF"/>
    <w:rsid w:val="00005494"/>
    <w:rsid w:val="00006618"/>
    <w:rsid w:val="0000665C"/>
    <w:rsid w:val="00006AFC"/>
    <w:rsid w:val="000071BE"/>
    <w:rsid w:val="00007A5E"/>
    <w:rsid w:val="00010079"/>
    <w:rsid w:val="00010477"/>
    <w:rsid w:val="00010A0F"/>
    <w:rsid w:val="000117A3"/>
    <w:rsid w:val="00011ACD"/>
    <w:rsid w:val="00011B87"/>
    <w:rsid w:val="000122E2"/>
    <w:rsid w:val="00012F18"/>
    <w:rsid w:val="00013014"/>
    <w:rsid w:val="000131CD"/>
    <w:rsid w:val="00013258"/>
    <w:rsid w:val="000137B4"/>
    <w:rsid w:val="00013F00"/>
    <w:rsid w:val="000142F0"/>
    <w:rsid w:val="000150BA"/>
    <w:rsid w:val="0001533F"/>
    <w:rsid w:val="00015815"/>
    <w:rsid w:val="00016212"/>
    <w:rsid w:val="0001652A"/>
    <w:rsid w:val="0001692C"/>
    <w:rsid w:val="00016D0F"/>
    <w:rsid w:val="00016D9F"/>
    <w:rsid w:val="0001736A"/>
    <w:rsid w:val="00017B0F"/>
    <w:rsid w:val="0002051D"/>
    <w:rsid w:val="0002270F"/>
    <w:rsid w:val="00022BC9"/>
    <w:rsid w:val="00022E83"/>
    <w:rsid w:val="00023144"/>
    <w:rsid w:val="00023202"/>
    <w:rsid w:val="00023AE0"/>
    <w:rsid w:val="000242CD"/>
    <w:rsid w:val="00024930"/>
    <w:rsid w:val="00024C03"/>
    <w:rsid w:val="00025532"/>
    <w:rsid w:val="00025D58"/>
    <w:rsid w:val="00026989"/>
    <w:rsid w:val="00030140"/>
    <w:rsid w:val="000303A4"/>
    <w:rsid w:val="00030573"/>
    <w:rsid w:val="000319C5"/>
    <w:rsid w:val="00031B27"/>
    <w:rsid w:val="00031EB9"/>
    <w:rsid w:val="00032136"/>
    <w:rsid w:val="0003222D"/>
    <w:rsid w:val="000326F4"/>
    <w:rsid w:val="00033916"/>
    <w:rsid w:val="00034C63"/>
    <w:rsid w:val="00035270"/>
    <w:rsid w:val="00035430"/>
    <w:rsid w:val="00035799"/>
    <w:rsid w:val="0003619E"/>
    <w:rsid w:val="0003639B"/>
    <w:rsid w:val="000376B5"/>
    <w:rsid w:val="00037C3D"/>
    <w:rsid w:val="00037E07"/>
    <w:rsid w:val="00040323"/>
    <w:rsid w:val="00041111"/>
    <w:rsid w:val="000411FE"/>
    <w:rsid w:val="00041580"/>
    <w:rsid w:val="00042DAA"/>
    <w:rsid w:val="00043152"/>
    <w:rsid w:val="0004340D"/>
    <w:rsid w:val="00043B2D"/>
    <w:rsid w:val="00043CC2"/>
    <w:rsid w:val="00044262"/>
    <w:rsid w:val="00044383"/>
    <w:rsid w:val="00045F1D"/>
    <w:rsid w:val="00046870"/>
    <w:rsid w:val="00046B4B"/>
    <w:rsid w:val="00046DF4"/>
    <w:rsid w:val="0004722B"/>
    <w:rsid w:val="00047382"/>
    <w:rsid w:val="000503FA"/>
    <w:rsid w:val="00050BCB"/>
    <w:rsid w:val="00050ED1"/>
    <w:rsid w:val="00051189"/>
    <w:rsid w:val="0005258B"/>
    <w:rsid w:val="000525A4"/>
    <w:rsid w:val="00052B51"/>
    <w:rsid w:val="00052BF0"/>
    <w:rsid w:val="00052D64"/>
    <w:rsid w:val="00052E80"/>
    <w:rsid w:val="000532B7"/>
    <w:rsid w:val="0005337B"/>
    <w:rsid w:val="00053E88"/>
    <w:rsid w:val="000544E1"/>
    <w:rsid w:val="0005458B"/>
    <w:rsid w:val="00054D8C"/>
    <w:rsid w:val="00054DA9"/>
    <w:rsid w:val="00054DB6"/>
    <w:rsid w:val="000556B5"/>
    <w:rsid w:val="000557A8"/>
    <w:rsid w:val="00055A5F"/>
    <w:rsid w:val="00055AA3"/>
    <w:rsid w:val="000567B9"/>
    <w:rsid w:val="00056B8E"/>
    <w:rsid w:val="00056F9E"/>
    <w:rsid w:val="00057130"/>
    <w:rsid w:val="000575D2"/>
    <w:rsid w:val="000575E5"/>
    <w:rsid w:val="00060551"/>
    <w:rsid w:val="00060E27"/>
    <w:rsid w:val="0006150F"/>
    <w:rsid w:val="000616D8"/>
    <w:rsid w:val="00061786"/>
    <w:rsid w:val="00061C5F"/>
    <w:rsid w:val="00062855"/>
    <w:rsid w:val="00062EBB"/>
    <w:rsid w:val="000632FF"/>
    <w:rsid w:val="000636B6"/>
    <w:rsid w:val="00063AC6"/>
    <w:rsid w:val="00063FA2"/>
    <w:rsid w:val="0006437F"/>
    <w:rsid w:val="00064382"/>
    <w:rsid w:val="00064461"/>
    <w:rsid w:val="000658D1"/>
    <w:rsid w:val="00065AFE"/>
    <w:rsid w:val="000663D4"/>
    <w:rsid w:val="000665AD"/>
    <w:rsid w:val="0006723C"/>
    <w:rsid w:val="00067849"/>
    <w:rsid w:val="000706D7"/>
    <w:rsid w:val="00070C1B"/>
    <w:rsid w:val="00070E66"/>
    <w:rsid w:val="00071548"/>
    <w:rsid w:val="000717F2"/>
    <w:rsid w:val="000720C4"/>
    <w:rsid w:val="00072B1C"/>
    <w:rsid w:val="000730AC"/>
    <w:rsid w:val="000734EB"/>
    <w:rsid w:val="00073957"/>
    <w:rsid w:val="000749C3"/>
    <w:rsid w:val="000754C2"/>
    <w:rsid w:val="00075683"/>
    <w:rsid w:val="000761C0"/>
    <w:rsid w:val="000775F2"/>
    <w:rsid w:val="00077988"/>
    <w:rsid w:val="00077B08"/>
    <w:rsid w:val="00077B23"/>
    <w:rsid w:val="00077CBC"/>
    <w:rsid w:val="00077CCD"/>
    <w:rsid w:val="00077D4B"/>
    <w:rsid w:val="00077F74"/>
    <w:rsid w:val="000809B3"/>
    <w:rsid w:val="00080A4B"/>
    <w:rsid w:val="0008115B"/>
    <w:rsid w:val="000814E9"/>
    <w:rsid w:val="00081584"/>
    <w:rsid w:val="000816E3"/>
    <w:rsid w:val="000826E6"/>
    <w:rsid w:val="00082A59"/>
    <w:rsid w:val="00083338"/>
    <w:rsid w:val="00083446"/>
    <w:rsid w:val="00083E84"/>
    <w:rsid w:val="000840B2"/>
    <w:rsid w:val="00084225"/>
    <w:rsid w:val="00084CD8"/>
    <w:rsid w:val="0008527F"/>
    <w:rsid w:val="00085869"/>
    <w:rsid w:val="0008683F"/>
    <w:rsid w:val="000872E9"/>
    <w:rsid w:val="00087670"/>
    <w:rsid w:val="00087EA9"/>
    <w:rsid w:val="00090F70"/>
    <w:rsid w:val="0009171B"/>
    <w:rsid w:val="00091D61"/>
    <w:rsid w:val="00091E6E"/>
    <w:rsid w:val="000929F6"/>
    <w:rsid w:val="00094169"/>
    <w:rsid w:val="00094365"/>
    <w:rsid w:val="000944A0"/>
    <w:rsid w:val="000949ED"/>
    <w:rsid w:val="00094CBA"/>
    <w:rsid w:val="0009545F"/>
    <w:rsid w:val="00095B22"/>
    <w:rsid w:val="000968A8"/>
    <w:rsid w:val="00096E19"/>
    <w:rsid w:val="00097551"/>
    <w:rsid w:val="00097622"/>
    <w:rsid w:val="00097799"/>
    <w:rsid w:val="00097E22"/>
    <w:rsid w:val="000A01D5"/>
    <w:rsid w:val="000A191E"/>
    <w:rsid w:val="000A1E5A"/>
    <w:rsid w:val="000A3359"/>
    <w:rsid w:val="000A3D60"/>
    <w:rsid w:val="000A41F9"/>
    <w:rsid w:val="000A5014"/>
    <w:rsid w:val="000A503F"/>
    <w:rsid w:val="000A54BA"/>
    <w:rsid w:val="000A552D"/>
    <w:rsid w:val="000A5A51"/>
    <w:rsid w:val="000A6213"/>
    <w:rsid w:val="000A6483"/>
    <w:rsid w:val="000A67EB"/>
    <w:rsid w:val="000A6C29"/>
    <w:rsid w:val="000A704F"/>
    <w:rsid w:val="000A7260"/>
    <w:rsid w:val="000B0C61"/>
    <w:rsid w:val="000B0EE6"/>
    <w:rsid w:val="000B111A"/>
    <w:rsid w:val="000B12E9"/>
    <w:rsid w:val="000B177D"/>
    <w:rsid w:val="000B1EED"/>
    <w:rsid w:val="000B216F"/>
    <w:rsid w:val="000B26D9"/>
    <w:rsid w:val="000B2AB0"/>
    <w:rsid w:val="000B2F69"/>
    <w:rsid w:val="000B3334"/>
    <w:rsid w:val="000B35CB"/>
    <w:rsid w:val="000B37E3"/>
    <w:rsid w:val="000B3B6C"/>
    <w:rsid w:val="000B44FC"/>
    <w:rsid w:val="000B4B3F"/>
    <w:rsid w:val="000B4FB0"/>
    <w:rsid w:val="000B51A7"/>
    <w:rsid w:val="000B54F3"/>
    <w:rsid w:val="000B56F4"/>
    <w:rsid w:val="000B5E07"/>
    <w:rsid w:val="000B66C2"/>
    <w:rsid w:val="000B676F"/>
    <w:rsid w:val="000B6B81"/>
    <w:rsid w:val="000B7442"/>
    <w:rsid w:val="000C0B79"/>
    <w:rsid w:val="000C0C69"/>
    <w:rsid w:val="000C1667"/>
    <w:rsid w:val="000C1A23"/>
    <w:rsid w:val="000C1B69"/>
    <w:rsid w:val="000C2109"/>
    <w:rsid w:val="000C2A95"/>
    <w:rsid w:val="000C31BE"/>
    <w:rsid w:val="000C3DF7"/>
    <w:rsid w:val="000C42E7"/>
    <w:rsid w:val="000C438C"/>
    <w:rsid w:val="000C44C7"/>
    <w:rsid w:val="000C46CB"/>
    <w:rsid w:val="000C5877"/>
    <w:rsid w:val="000C5AB0"/>
    <w:rsid w:val="000C5E79"/>
    <w:rsid w:val="000C713D"/>
    <w:rsid w:val="000C7254"/>
    <w:rsid w:val="000C7861"/>
    <w:rsid w:val="000C7982"/>
    <w:rsid w:val="000D080F"/>
    <w:rsid w:val="000D0840"/>
    <w:rsid w:val="000D0F5E"/>
    <w:rsid w:val="000D110F"/>
    <w:rsid w:val="000D195F"/>
    <w:rsid w:val="000D19AE"/>
    <w:rsid w:val="000D1E3E"/>
    <w:rsid w:val="000D2E5F"/>
    <w:rsid w:val="000D3547"/>
    <w:rsid w:val="000D384E"/>
    <w:rsid w:val="000D3850"/>
    <w:rsid w:val="000D39EA"/>
    <w:rsid w:val="000D4BEA"/>
    <w:rsid w:val="000D4DA7"/>
    <w:rsid w:val="000D59AA"/>
    <w:rsid w:val="000D5F8C"/>
    <w:rsid w:val="000D61B6"/>
    <w:rsid w:val="000E01E5"/>
    <w:rsid w:val="000E037A"/>
    <w:rsid w:val="000E05BB"/>
    <w:rsid w:val="000E0CD4"/>
    <w:rsid w:val="000E1024"/>
    <w:rsid w:val="000E14F8"/>
    <w:rsid w:val="000E16F4"/>
    <w:rsid w:val="000E18D6"/>
    <w:rsid w:val="000E1B48"/>
    <w:rsid w:val="000E1C26"/>
    <w:rsid w:val="000E1DE8"/>
    <w:rsid w:val="000E294C"/>
    <w:rsid w:val="000E3BC3"/>
    <w:rsid w:val="000E469B"/>
    <w:rsid w:val="000E54D3"/>
    <w:rsid w:val="000E592E"/>
    <w:rsid w:val="000E5EE9"/>
    <w:rsid w:val="000E69D9"/>
    <w:rsid w:val="000E6ABE"/>
    <w:rsid w:val="000E6BD9"/>
    <w:rsid w:val="000E725A"/>
    <w:rsid w:val="000E72B3"/>
    <w:rsid w:val="000E7341"/>
    <w:rsid w:val="000E754F"/>
    <w:rsid w:val="000E7C5F"/>
    <w:rsid w:val="000E7D51"/>
    <w:rsid w:val="000F02CE"/>
    <w:rsid w:val="000F0818"/>
    <w:rsid w:val="000F1349"/>
    <w:rsid w:val="000F180C"/>
    <w:rsid w:val="000F208E"/>
    <w:rsid w:val="000F2196"/>
    <w:rsid w:val="000F23A3"/>
    <w:rsid w:val="000F2B70"/>
    <w:rsid w:val="000F2D3C"/>
    <w:rsid w:val="000F3069"/>
    <w:rsid w:val="000F3372"/>
    <w:rsid w:val="000F36A3"/>
    <w:rsid w:val="000F38ED"/>
    <w:rsid w:val="000F3DD7"/>
    <w:rsid w:val="000F510E"/>
    <w:rsid w:val="000F5FBF"/>
    <w:rsid w:val="000F61B9"/>
    <w:rsid w:val="000F69F3"/>
    <w:rsid w:val="000F6C7A"/>
    <w:rsid w:val="000F7583"/>
    <w:rsid w:val="000F7B5F"/>
    <w:rsid w:val="000F7DA8"/>
    <w:rsid w:val="001010BE"/>
    <w:rsid w:val="0010128D"/>
    <w:rsid w:val="0010162B"/>
    <w:rsid w:val="00101D62"/>
    <w:rsid w:val="001023FB"/>
    <w:rsid w:val="0010242E"/>
    <w:rsid w:val="00102BF4"/>
    <w:rsid w:val="0010315F"/>
    <w:rsid w:val="00103ABB"/>
    <w:rsid w:val="00103DC3"/>
    <w:rsid w:val="00104621"/>
    <w:rsid w:val="00105435"/>
    <w:rsid w:val="00105995"/>
    <w:rsid w:val="00105DFE"/>
    <w:rsid w:val="00105E67"/>
    <w:rsid w:val="0010610B"/>
    <w:rsid w:val="0010613C"/>
    <w:rsid w:val="001065A0"/>
    <w:rsid w:val="00110279"/>
    <w:rsid w:val="001109DF"/>
    <w:rsid w:val="001116C9"/>
    <w:rsid w:val="00111AF4"/>
    <w:rsid w:val="00111C8D"/>
    <w:rsid w:val="001120C0"/>
    <w:rsid w:val="00112BB6"/>
    <w:rsid w:val="0011367F"/>
    <w:rsid w:val="00113E96"/>
    <w:rsid w:val="00113F5F"/>
    <w:rsid w:val="001148AB"/>
    <w:rsid w:val="0011666E"/>
    <w:rsid w:val="001171BF"/>
    <w:rsid w:val="00117B02"/>
    <w:rsid w:val="0012038F"/>
    <w:rsid w:val="001208F7"/>
    <w:rsid w:val="00121047"/>
    <w:rsid w:val="001219C0"/>
    <w:rsid w:val="00122000"/>
    <w:rsid w:val="00122197"/>
    <w:rsid w:val="001227BB"/>
    <w:rsid w:val="0012289C"/>
    <w:rsid w:val="001228FB"/>
    <w:rsid w:val="00122CA4"/>
    <w:rsid w:val="001233DC"/>
    <w:rsid w:val="001242E9"/>
    <w:rsid w:val="00125946"/>
    <w:rsid w:val="00125B78"/>
    <w:rsid w:val="00125B9A"/>
    <w:rsid w:val="00125D58"/>
    <w:rsid w:val="00125D74"/>
    <w:rsid w:val="00126435"/>
    <w:rsid w:val="0012797A"/>
    <w:rsid w:val="0013048F"/>
    <w:rsid w:val="00131322"/>
    <w:rsid w:val="0013202C"/>
    <w:rsid w:val="00132DCC"/>
    <w:rsid w:val="001330AC"/>
    <w:rsid w:val="0013329D"/>
    <w:rsid w:val="0013347D"/>
    <w:rsid w:val="001339D5"/>
    <w:rsid w:val="00133A42"/>
    <w:rsid w:val="001342C7"/>
    <w:rsid w:val="001343FB"/>
    <w:rsid w:val="0013464C"/>
    <w:rsid w:val="0013580A"/>
    <w:rsid w:val="0013590B"/>
    <w:rsid w:val="00136972"/>
    <w:rsid w:val="001372A6"/>
    <w:rsid w:val="001378A1"/>
    <w:rsid w:val="00140465"/>
    <w:rsid w:val="00141387"/>
    <w:rsid w:val="001419EE"/>
    <w:rsid w:val="00141C72"/>
    <w:rsid w:val="0014232F"/>
    <w:rsid w:val="0014250F"/>
    <w:rsid w:val="00142CA1"/>
    <w:rsid w:val="001430EF"/>
    <w:rsid w:val="00143257"/>
    <w:rsid w:val="001434AB"/>
    <w:rsid w:val="0014365D"/>
    <w:rsid w:val="00143716"/>
    <w:rsid w:val="00143B27"/>
    <w:rsid w:val="00143B43"/>
    <w:rsid w:val="00143F91"/>
    <w:rsid w:val="001454E6"/>
    <w:rsid w:val="00145635"/>
    <w:rsid w:val="00146F8C"/>
    <w:rsid w:val="00147151"/>
    <w:rsid w:val="00147566"/>
    <w:rsid w:val="00147B58"/>
    <w:rsid w:val="001504D8"/>
    <w:rsid w:val="00150EF9"/>
    <w:rsid w:val="00151E44"/>
    <w:rsid w:val="0015204B"/>
    <w:rsid w:val="0015232D"/>
    <w:rsid w:val="00152916"/>
    <w:rsid w:val="00152E74"/>
    <w:rsid w:val="00153261"/>
    <w:rsid w:val="001539B4"/>
    <w:rsid w:val="00153B29"/>
    <w:rsid w:val="001540F8"/>
    <w:rsid w:val="001542FD"/>
    <w:rsid w:val="0015493E"/>
    <w:rsid w:val="00155A7C"/>
    <w:rsid w:val="00155DCC"/>
    <w:rsid w:val="001572DA"/>
    <w:rsid w:val="00157E03"/>
    <w:rsid w:val="00157E8C"/>
    <w:rsid w:val="001601AF"/>
    <w:rsid w:val="00160B5A"/>
    <w:rsid w:val="00160FC7"/>
    <w:rsid w:val="00161B26"/>
    <w:rsid w:val="001621F0"/>
    <w:rsid w:val="00162D1E"/>
    <w:rsid w:val="001643DF"/>
    <w:rsid w:val="001647ED"/>
    <w:rsid w:val="00164E05"/>
    <w:rsid w:val="001655C3"/>
    <w:rsid w:val="00165CC0"/>
    <w:rsid w:val="00165F98"/>
    <w:rsid w:val="00166472"/>
    <w:rsid w:val="0016706A"/>
    <w:rsid w:val="0016732B"/>
    <w:rsid w:val="00167594"/>
    <w:rsid w:val="00167C2A"/>
    <w:rsid w:val="00170B10"/>
    <w:rsid w:val="00171DA3"/>
    <w:rsid w:val="0017265D"/>
    <w:rsid w:val="001728FF"/>
    <w:rsid w:val="00172906"/>
    <w:rsid w:val="00172A11"/>
    <w:rsid w:val="00172EA5"/>
    <w:rsid w:val="00173620"/>
    <w:rsid w:val="001739AF"/>
    <w:rsid w:val="00173C96"/>
    <w:rsid w:val="00173D53"/>
    <w:rsid w:val="00174729"/>
    <w:rsid w:val="00174BDE"/>
    <w:rsid w:val="00174CBE"/>
    <w:rsid w:val="00175096"/>
    <w:rsid w:val="001756EB"/>
    <w:rsid w:val="00175BE6"/>
    <w:rsid w:val="00175C42"/>
    <w:rsid w:val="001760CE"/>
    <w:rsid w:val="0017613E"/>
    <w:rsid w:val="00176F98"/>
    <w:rsid w:val="00176FA9"/>
    <w:rsid w:val="00177F1B"/>
    <w:rsid w:val="00177F60"/>
    <w:rsid w:val="001814C7"/>
    <w:rsid w:val="00181A7A"/>
    <w:rsid w:val="00182069"/>
    <w:rsid w:val="0018261D"/>
    <w:rsid w:val="00182CEE"/>
    <w:rsid w:val="00182EE3"/>
    <w:rsid w:val="00183015"/>
    <w:rsid w:val="0018306A"/>
    <w:rsid w:val="001838D7"/>
    <w:rsid w:val="00183C0D"/>
    <w:rsid w:val="001840A2"/>
    <w:rsid w:val="001846BA"/>
    <w:rsid w:val="001848D9"/>
    <w:rsid w:val="00184B44"/>
    <w:rsid w:val="00184BB1"/>
    <w:rsid w:val="001852A1"/>
    <w:rsid w:val="0018574B"/>
    <w:rsid w:val="0018582A"/>
    <w:rsid w:val="00185C5A"/>
    <w:rsid w:val="001863B2"/>
    <w:rsid w:val="001866A7"/>
    <w:rsid w:val="00186AD5"/>
    <w:rsid w:val="00187CFD"/>
    <w:rsid w:val="0019015D"/>
    <w:rsid w:val="0019094E"/>
    <w:rsid w:val="00190AE1"/>
    <w:rsid w:val="00190C95"/>
    <w:rsid w:val="001910EF"/>
    <w:rsid w:val="00191250"/>
    <w:rsid w:val="00191622"/>
    <w:rsid w:val="001918E6"/>
    <w:rsid w:val="00191F8B"/>
    <w:rsid w:val="001924D7"/>
    <w:rsid w:val="00192689"/>
    <w:rsid w:val="00192CEB"/>
    <w:rsid w:val="00192DB3"/>
    <w:rsid w:val="00193D71"/>
    <w:rsid w:val="001943E3"/>
    <w:rsid w:val="00194509"/>
    <w:rsid w:val="0019539D"/>
    <w:rsid w:val="00195801"/>
    <w:rsid w:val="00195B1D"/>
    <w:rsid w:val="00195EC0"/>
    <w:rsid w:val="00196294"/>
    <w:rsid w:val="001966D7"/>
    <w:rsid w:val="00196AFC"/>
    <w:rsid w:val="00196B82"/>
    <w:rsid w:val="00197382"/>
    <w:rsid w:val="00197657"/>
    <w:rsid w:val="001976E7"/>
    <w:rsid w:val="001A016B"/>
    <w:rsid w:val="001A0A6F"/>
    <w:rsid w:val="001A0E3D"/>
    <w:rsid w:val="001A10F6"/>
    <w:rsid w:val="001A1679"/>
    <w:rsid w:val="001A1F03"/>
    <w:rsid w:val="001A298C"/>
    <w:rsid w:val="001A2DEB"/>
    <w:rsid w:val="001A4314"/>
    <w:rsid w:val="001A4E12"/>
    <w:rsid w:val="001A4FB9"/>
    <w:rsid w:val="001A4FDD"/>
    <w:rsid w:val="001A5175"/>
    <w:rsid w:val="001A523E"/>
    <w:rsid w:val="001A589F"/>
    <w:rsid w:val="001A5ACA"/>
    <w:rsid w:val="001A5DA7"/>
    <w:rsid w:val="001A6379"/>
    <w:rsid w:val="001A651A"/>
    <w:rsid w:val="001A6C6F"/>
    <w:rsid w:val="001A6E96"/>
    <w:rsid w:val="001A6FAB"/>
    <w:rsid w:val="001A7507"/>
    <w:rsid w:val="001A767B"/>
    <w:rsid w:val="001A77E4"/>
    <w:rsid w:val="001A78F9"/>
    <w:rsid w:val="001B0736"/>
    <w:rsid w:val="001B0A6F"/>
    <w:rsid w:val="001B1977"/>
    <w:rsid w:val="001B19C4"/>
    <w:rsid w:val="001B1B31"/>
    <w:rsid w:val="001B1CFF"/>
    <w:rsid w:val="001B1D73"/>
    <w:rsid w:val="001B22D1"/>
    <w:rsid w:val="001B2714"/>
    <w:rsid w:val="001B312D"/>
    <w:rsid w:val="001B4D1D"/>
    <w:rsid w:val="001B5BED"/>
    <w:rsid w:val="001B6156"/>
    <w:rsid w:val="001B6AA5"/>
    <w:rsid w:val="001B76B4"/>
    <w:rsid w:val="001B7821"/>
    <w:rsid w:val="001C03ED"/>
    <w:rsid w:val="001C05D1"/>
    <w:rsid w:val="001C0AC6"/>
    <w:rsid w:val="001C240C"/>
    <w:rsid w:val="001C2449"/>
    <w:rsid w:val="001C26F6"/>
    <w:rsid w:val="001C3176"/>
    <w:rsid w:val="001C3EE3"/>
    <w:rsid w:val="001C5064"/>
    <w:rsid w:val="001C54E3"/>
    <w:rsid w:val="001C5D6E"/>
    <w:rsid w:val="001C6065"/>
    <w:rsid w:val="001C615F"/>
    <w:rsid w:val="001C64F0"/>
    <w:rsid w:val="001C6AAA"/>
    <w:rsid w:val="001C72F8"/>
    <w:rsid w:val="001C75DD"/>
    <w:rsid w:val="001C797D"/>
    <w:rsid w:val="001C7F1C"/>
    <w:rsid w:val="001D0354"/>
    <w:rsid w:val="001D03B8"/>
    <w:rsid w:val="001D095D"/>
    <w:rsid w:val="001D1303"/>
    <w:rsid w:val="001D228A"/>
    <w:rsid w:val="001D27CC"/>
    <w:rsid w:val="001D28EF"/>
    <w:rsid w:val="001D2ABD"/>
    <w:rsid w:val="001D3788"/>
    <w:rsid w:val="001D4402"/>
    <w:rsid w:val="001D44B8"/>
    <w:rsid w:val="001D4B85"/>
    <w:rsid w:val="001D4F47"/>
    <w:rsid w:val="001D521E"/>
    <w:rsid w:val="001D5EA6"/>
    <w:rsid w:val="001D6326"/>
    <w:rsid w:val="001D64EE"/>
    <w:rsid w:val="001D71AC"/>
    <w:rsid w:val="001E0723"/>
    <w:rsid w:val="001E09E7"/>
    <w:rsid w:val="001E0C74"/>
    <w:rsid w:val="001E0F65"/>
    <w:rsid w:val="001E1B66"/>
    <w:rsid w:val="001E1BA3"/>
    <w:rsid w:val="001E1C83"/>
    <w:rsid w:val="001E1D89"/>
    <w:rsid w:val="001E227B"/>
    <w:rsid w:val="001E2FD4"/>
    <w:rsid w:val="001E3142"/>
    <w:rsid w:val="001E36A6"/>
    <w:rsid w:val="001E3F5D"/>
    <w:rsid w:val="001E44F8"/>
    <w:rsid w:val="001E494D"/>
    <w:rsid w:val="001E519E"/>
    <w:rsid w:val="001E5403"/>
    <w:rsid w:val="001E5623"/>
    <w:rsid w:val="001E6494"/>
    <w:rsid w:val="001E6988"/>
    <w:rsid w:val="001E69E1"/>
    <w:rsid w:val="001F0D58"/>
    <w:rsid w:val="001F0E2B"/>
    <w:rsid w:val="001F14B2"/>
    <w:rsid w:val="001F1A7F"/>
    <w:rsid w:val="001F2697"/>
    <w:rsid w:val="001F29B1"/>
    <w:rsid w:val="001F2B49"/>
    <w:rsid w:val="001F2BC0"/>
    <w:rsid w:val="001F2D45"/>
    <w:rsid w:val="001F34C0"/>
    <w:rsid w:val="001F3570"/>
    <w:rsid w:val="001F3C7B"/>
    <w:rsid w:val="001F3D40"/>
    <w:rsid w:val="001F4203"/>
    <w:rsid w:val="001F470D"/>
    <w:rsid w:val="001F5C2C"/>
    <w:rsid w:val="001F6836"/>
    <w:rsid w:val="001F6B87"/>
    <w:rsid w:val="001F7695"/>
    <w:rsid w:val="001F7854"/>
    <w:rsid w:val="001F7C3B"/>
    <w:rsid w:val="00200495"/>
    <w:rsid w:val="0020053C"/>
    <w:rsid w:val="002010DC"/>
    <w:rsid w:val="002010E1"/>
    <w:rsid w:val="0020112E"/>
    <w:rsid w:val="0020143E"/>
    <w:rsid w:val="002014AB"/>
    <w:rsid w:val="00201DF9"/>
    <w:rsid w:val="002029E0"/>
    <w:rsid w:val="00202F43"/>
    <w:rsid w:val="00202FBF"/>
    <w:rsid w:val="002033EF"/>
    <w:rsid w:val="00203622"/>
    <w:rsid w:val="00203FBF"/>
    <w:rsid w:val="0020422A"/>
    <w:rsid w:val="00204B96"/>
    <w:rsid w:val="00204C08"/>
    <w:rsid w:val="002051C3"/>
    <w:rsid w:val="00205557"/>
    <w:rsid w:val="00205C6E"/>
    <w:rsid w:val="0020754E"/>
    <w:rsid w:val="002077F3"/>
    <w:rsid w:val="002102C4"/>
    <w:rsid w:val="002104DC"/>
    <w:rsid w:val="002107FB"/>
    <w:rsid w:val="0021172C"/>
    <w:rsid w:val="002118B0"/>
    <w:rsid w:val="002124A0"/>
    <w:rsid w:val="00212535"/>
    <w:rsid w:val="00212FE4"/>
    <w:rsid w:val="00213C2D"/>
    <w:rsid w:val="0021540E"/>
    <w:rsid w:val="002159A3"/>
    <w:rsid w:val="00215B0D"/>
    <w:rsid w:val="002165F8"/>
    <w:rsid w:val="00216712"/>
    <w:rsid w:val="002169C6"/>
    <w:rsid w:val="00216A71"/>
    <w:rsid w:val="00216D8F"/>
    <w:rsid w:val="002170C5"/>
    <w:rsid w:val="002204A5"/>
    <w:rsid w:val="00220603"/>
    <w:rsid w:val="00220B5C"/>
    <w:rsid w:val="0022105E"/>
    <w:rsid w:val="00221789"/>
    <w:rsid w:val="00221AA7"/>
    <w:rsid w:val="00222145"/>
    <w:rsid w:val="00222193"/>
    <w:rsid w:val="0022230C"/>
    <w:rsid w:val="00222C58"/>
    <w:rsid w:val="002230EB"/>
    <w:rsid w:val="00223586"/>
    <w:rsid w:val="002236D2"/>
    <w:rsid w:val="00224E3C"/>
    <w:rsid w:val="00224F34"/>
    <w:rsid w:val="002253C7"/>
    <w:rsid w:val="002256DB"/>
    <w:rsid w:val="00225A5C"/>
    <w:rsid w:val="00226013"/>
    <w:rsid w:val="002261E4"/>
    <w:rsid w:val="00226BF4"/>
    <w:rsid w:val="002275CF"/>
    <w:rsid w:val="002278B1"/>
    <w:rsid w:val="002279CA"/>
    <w:rsid w:val="00227F8A"/>
    <w:rsid w:val="00230444"/>
    <w:rsid w:val="00230AC3"/>
    <w:rsid w:val="00231830"/>
    <w:rsid w:val="00231836"/>
    <w:rsid w:val="00232299"/>
    <w:rsid w:val="00232457"/>
    <w:rsid w:val="00232573"/>
    <w:rsid w:val="002328EF"/>
    <w:rsid w:val="00232B2B"/>
    <w:rsid w:val="00233E01"/>
    <w:rsid w:val="0023420C"/>
    <w:rsid w:val="002344BA"/>
    <w:rsid w:val="002349E3"/>
    <w:rsid w:val="00234CD0"/>
    <w:rsid w:val="00235EB9"/>
    <w:rsid w:val="00236DE2"/>
    <w:rsid w:val="00236EAF"/>
    <w:rsid w:val="00237B24"/>
    <w:rsid w:val="00237C54"/>
    <w:rsid w:val="00237D71"/>
    <w:rsid w:val="00237F81"/>
    <w:rsid w:val="0024089D"/>
    <w:rsid w:val="00241508"/>
    <w:rsid w:val="00241C1E"/>
    <w:rsid w:val="00241CFA"/>
    <w:rsid w:val="00242151"/>
    <w:rsid w:val="002422E6"/>
    <w:rsid w:val="00242360"/>
    <w:rsid w:val="00242777"/>
    <w:rsid w:val="00242B6E"/>
    <w:rsid w:val="00244148"/>
    <w:rsid w:val="002447E2"/>
    <w:rsid w:val="00244A5C"/>
    <w:rsid w:val="00245537"/>
    <w:rsid w:val="00245846"/>
    <w:rsid w:val="00245C41"/>
    <w:rsid w:val="00245D2D"/>
    <w:rsid w:val="00245FE3"/>
    <w:rsid w:val="00246113"/>
    <w:rsid w:val="00246A51"/>
    <w:rsid w:val="00247ADE"/>
    <w:rsid w:val="00247F3C"/>
    <w:rsid w:val="00250079"/>
    <w:rsid w:val="00250694"/>
    <w:rsid w:val="00250C1E"/>
    <w:rsid w:val="00251134"/>
    <w:rsid w:val="0025256C"/>
    <w:rsid w:val="0025260A"/>
    <w:rsid w:val="00252FCD"/>
    <w:rsid w:val="002531C5"/>
    <w:rsid w:val="0025336C"/>
    <w:rsid w:val="00253419"/>
    <w:rsid w:val="0025392B"/>
    <w:rsid w:val="00253A72"/>
    <w:rsid w:val="00253A9A"/>
    <w:rsid w:val="00254190"/>
    <w:rsid w:val="00254684"/>
    <w:rsid w:val="00254966"/>
    <w:rsid w:val="00254AF5"/>
    <w:rsid w:val="00255342"/>
    <w:rsid w:val="0025538C"/>
    <w:rsid w:val="00255833"/>
    <w:rsid w:val="00255E2D"/>
    <w:rsid w:val="002578A3"/>
    <w:rsid w:val="00257BBD"/>
    <w:rsid w:val="0026111C"/>
    <w:rsid w:val="002612F3"/>
    <w:rsid w:val="002617B6"/>
    <w:rsid w:val="00261A8D"/>
    <w:rsid w:val="00261B43"/>
    <w:rsid w:val="0026208E"/>
    <w:rsid w:val="0026267B"/>
    <w:rsid w:val="00262763"/>
    <w:rsid w:val="002639F7"/>
    <w:rsid w:val="0026490D"/>
    <w:rsid w:val="00264AE7"/>
    <w:rsid w:val="00264E3D"/>
    <w:rsid w:val="00264F3E"/>
    <w:rsid w:val="0026516E"/>
    <w:rsid w:val="00265902"/>
    <w:rsid w:val="00265D6F"/>
    <w:rsid w:val="00265EB1"/>
    <w:rsid w:val="00266CC2"/>
    <w:rsid w:val="00267103"/>
    <w:rsid w:val="002671A3"/>
    <w:rsid w:val="00267A2F"/>
    <w:rsid w:val="002701D1"/>
    <w:rsid w:val="0027044F"/>
    <w:rsid w:val="002716CC"/>
    <w:rsid w:val="002725D9"/>
    <w:rsid w:val="00272D0C"/>
    <w:rsid w:val="0027493F"/>
    <w:rsid w:val="00275568"/>
    <w:rsid w:val="00277718"/>
    <w:rsid w:val="0028000D"/>
    <w:rsid w:val="00280A31"/>
    <w:rsid w:val="00280FCD"/>
    <w:rsid w:val="0028105D"/>
    <w:rsid w:val="00281569"/>
    <w:rsid w:val="00281B43"/>
    <w:rsid w:val="00281D2F"/>
    <w:rsid w:val="00281FC6"/>
    <w:rsid w:val="002825E1"/>
    <w:rsid w:val="002827FD"/>
    <w:rsid w:val="00282833"/>
    <w:rsid w:val="00282A57"/>
    <w:rsid w:val="002830BB"/>
    <w:rsid w:val="00283A4A"/>
    <w:rsid w:val="00283B27"/>
    <w:rsid w:val="00283D80"/>
    <w:rsid w:val="00283F0F"/>
    <w:rsid w:val="002846D4"/>
    <w:rsid w:val="00284D54"/>
    <w:rsid w:val="00285CAE"/>
    <w:rsid w:val="00285D0A"/>
    <w:rsid w:val="00285E41"/>
    <w:rsid w:val="00286046"/>
    <w:rsid w:val="0028672B"/>
    <w:rsid w:val="00286995"/>
    <w:rsid w:val="00286C3A"/>
    <w:rsid w:val="00286CA1"/>
    <w:rsid w:val="002879F7"/>
    <w:rsid w:val="00287E08"/>
    <w:rsid w:val="00287ED8"/>
    <w:rsid w:val="00290096"/>
    <w:rsid w:val="002900A8"/>
    <w:rsid w:val="00291906"/>
    <w:rsid w:val="00291A41"/>
    <w:rsid w:val="00291D0E"/>
    <w:rsid w:val="0029271D"/>
    <w:rsid w:val="0029296E"/>
    <w:rsid w:val="00292BC8"/>
    <w:rsid w:val="00292E81"/>
    <w:rsid w:val="002932DD"/>
    <w:rsid w:val="00293A4C"/>
    <w:rsid w:val="00293C94"/>
    <w:rsid w:val="0029492F"/>
    <w:rsid w:val="00294BB8"/>
    <w:rsid w:val="00294BFD"/>
    <w:rsid w:val="0029541E"/>
    <w:rsid w:val="00295A29"/>
    <w:rsid w:val="00295C38"/>
    <w:rsid w:val="00295D30"/>
    <w:rsid w:val="002963B0"/>
    <w:rsid w:val="00296E56"/>
    <w:rsid w:val="002A01F7"/>
    <w:rsid w:val="002A05CD"/>
    <w:rsid w:val="002A0919"/>
    <w:rsid w:val="002A0CEB"/>
    <w:rsid w:val="002A141C"/>
    <w:rsid w:val="002A237D"/>
    <w:rsid w:val="002A25E6"/>
    <w:rsid w:val="002A29A4"/>
    <w:rsid w:val="002A2DD8"/>
    <w:rsid w:val="002A2E8C"/>
    <w:rsid w:val="002A3E35"/>
    <w:rsid w:val="002A438F"/>
    <w:rsid w:val="002A44EF"/>
    <w:rsid w:val="002A4C14"/>
    <w:rsid w:val="002A56B5"/>
    <w:rsid w:val="002A571E"/>
    <w:rsid w:val="002A5C18"/>
    <w:rsid w:val="002A5C96"/>
    <w:rsid w:val="002A5EDD"/>
    <w:rsid w:val="002A71C6"/>
    <w:rsid w:val="002A7712"/>
    <w:rsid w:val="002A7D66"/>
    <w:rsid w:val="002A7E5F"/>
    <w:rsid w:val="002A7E9E"/>
    <w:rsid w:val="002A7FED"/>
    <w:rsid w:val="002B010F"/>
    <w:rsid w:val="002B02BF"/>
    <w:rsid w:val="002B0AA7"/>
    <w:rsid w:val="002B0C66"/>
    <w:rsid w:val="002B0C8C"/>
    <w:rsid w:val="002B1515"/>
    <w:rsid w:val="002B15BE"/>
    <w:rsid w:val="002B1A40"/>
    <w:rsid w:val="002B1B3B"/>
    <w:rsid w:val="002B1BB1"/>
    <w:rsid w:val="002B1D6E"/>
    <w:rsid w:val="002B2343"/>
    <w:rsid w:val="002B2367"/>
    <w:rsid w:val="002B2622"/>
    <w:rsid w:val="002B3526"/>
    <w:rsid w:val="002B37C3"/>
    <w:rsid w:val="002B4DE6"/>
    <w:rsid w:val="002B532D"/>
    <w:rsid w:val="002B54C6"/>
    <w:rsid w:val="002B5945"/>
    <w:rsid w:val="002B5DC9"/>
    <w:rsid w:val="002B5FAF"/>
    <w:rsid w:val="002B610A"/>
    <w:rsid w:val="002B63B9"/>
    <w:rsid w:val="002B674A"/>
    <w:rsid w:val="002B6D19"/>
    <w:rsid w:val="002B6EDC"/>
    <w:rsid w:val="002B74C7"/>
    <w:rsid w:val="002B7E92"/>
    <w:rsid w:val="002C0B32"/>
    <w:rsid w:val="002C0C7C"/>
    <w:rsid w:val="002C0CEA"/>
    <w:rsid w:val="002C105B"/>
    <w:rsid w:val="002C1136"/>
    <w:rsid w:val="002C1E83"/>
    <w:rsid w:val="002C2BFB"/>
    <w:rsid w:val="002C353A"/>
    <w:rsid w:val="002C35AA"/>
    <w:rsid w:val="002C3727"/>
    <w:rsid w:val="002C38B4"/>
    <w:rsid w:val="002C42EE"/>
    <w:rsid w:val="002C4591"/>
    <w:rsid w:val="002C517F"/>
    <w:rsid w:val="002C59BF"/>
    <w:rsid w:val="002C5A73"/>
    <w:rsid w:val="002C5B78"/>
    <w:rsid w:val="002C5F65"/>
    <w:rsid w:val="002C63D0"/>
    <w:rsid w:val="002C65E6"/>
    <w:rsid w:val="002C6C6F"/>
    <w:rsid w:val="002C7699"/>
    <w:rsid w:val="002C792B"/>
    <w:rsid w:val="002C7FAE"/>
    <w:rsid w:val="002D0D50"/>
    <w:rsid w:val="002D182E"/>
    <w:rsid w:val="002D2CD6"/>
    <w:rsid w:val="002D3B21"/>
    <w:rsid w:val="002D3CB6"/>
    <w:rsid w:val="002D48F5"/>
    <w:rsid w:val="002D4F3C"/>
    <w:rsid w:val="002D55BA"/>
    <w:rsid w:val="002D58E7"/>
    <w:rsid w:val="002D6490"/>
    <w:rsid w:val="002D70BB"/>
    <w:rsid w:val="002D77C9"/>
    <w:rsid w:val="002D7869"/>
    <w:rsid w:val="002D7B2F"/>
    <w:rsid w:val="002D7B4F"/>
    <w:rsid w:val="002D7B57"/>
    <w:rsid w:val="002E0246"/>
    <w:rsid w:val="002E0EB6"/>
    <w:rsid w:val="002E16B8"/>
    <w:rsid w:val="002E1861"/>
    <w:rsid w:val="002E1960"/>
    <w:rsid w:val="002E2396"/>
    <w:rsid w:val="002E32E4"/>
    <w:rsid w:val="002E40D5"/>
    <w:rsid w:val="002E4C5C"/>
    <w:rsid w:val="002E5CC1"/>
    <w:rsid w:val="002E64A0"/>
    <w:rsid w:val="002E650A"/>
    <w:rsid w:val="002E6994"/>
    <w:rsid w:val="002E6DD1"/>
    <w:rsid w:val="002E77B9"/>
    <w:rsid w:val="002E78E5"/>
    <w:rsid w:val="002E7BAB"/>
    <w:rsid w:val="002F170D"/>
    <w:rsid w:val="002F21BF"/>
    <w:rsid w:val="002F25AA"/>
    <w:rsid w:val="002F2CB5"/>
    <w:rsid w:val="002F3093"/>
    <w:rsid w:val="002F4312"/>
    <w:rsid w:val="002F43E7"/>
    <w:rsid w:val="002F4B8A"/>
    <w:rsid w:val="002F4E41"/>
    <w:rsid w:val="002F583F"/>
    <w:rsid w:val="002F5C10"/>
    <w:rsid w:val="002F6110"/>
    <w:rsid w:val="002F6466"/>
    <w:rsid w:val="002F7883"/>
    <w:rsid w:val="002F7C7F"/>
    <w:rsid w:val="00300373"/>
    <w:rsid w:val="0030051D"/>
    <w:rsid w:val="00300D88"/>
    <w:rsid w:val="00300E76"/>
    <w:rsid w:val="003018BB"/>
    <w:rsid w:val="003019C2"/>
    <w:rsid w:val="00301CCA"/>
    <w:rsid w:val="00301DCE"/>
    <w:rsid w:val="00302251"/>
    <w:rsid w:val="00302272"/>
    <w:rsid w:val="00302B84"/>
    <w:rsid w:val="00302CE0"/>
    <w:rsid w:val="0030301A"/>
    <w:rsid w:val="00303E5A"/>
    <w:rsid w:val="0030449A"/>
    <w:rsid w:val="00304563"/>
    <w:rsid w:val="0030463B"/>
    <w:rsid w:val="00305B2F"/>
    <w:rsid w:val="00305FD3"/>
    <w:rsid w:val="0030629F"/>
    <w:rsid w:val="00306593"/>
    <w:rsid w:val="00306623"/>
    <w:rsid w:val="00306B43"/>
    <w:rsid w:val="00307BEC"/>
    <w:rsid w:val="0031059D"/>
    <w:rsid w:val="00311103"/>
    <w:rsid w:val="00311F0E"/>
    <w:rsid w:val="00311F97"/>
    <w:rsid w:val="003123F5"/>
    <w:rsid w:val="00313791"/>
    <w:rsid w:val="00313B57"/>
    <w:rsid w:val="00314478"/>
    <w:rsid w:val="00314958"/>
    <w:rsid w:val="00314D0E"/>
    <w:rsid w:val="00315144"/>
    <w:rsid w:val="00316437"/>
    <w:rsid w:val="0031655A"/>
    <w:rsid w:val="00316B6A"/>
    <w:rsid w:val="00316F2D"/>
    <w:rsid w:val="00317127"/>
    <w:rsid w:val="003210F6"/>
    <w:rsid w:val="003213AC"/>
    <w:rsid w:val="003215F1"/>
    <w:rsid w:val="00321ADB"/>
    <w:rsid w:val="00323016"/>
    <w:rsid w:val="003235F3"/>
    <w:rsid w:val="00323E34"/>
    <w:rsid w:val="00324091"/>
    <w:rsid w:val="003246AC"/>
    <w:rsid w:val="00324763"/>
    <w:rsid w:val="003248C4"/>
    <w:rsid w:val="00324DBF"/>
    <w:rsid w:val="00325853"/>
    <w:rsid w:val="00325AB4"/>
    <w:rsid w:val="00325F47"/>
    <w:rsid w:val="00327187"/>
    <w:rsid w:val="00327240"/>
    <w:rsid w:val="00327590"/>
    <w:rsid w:val="00327684"/>
    <w:rsid w:val="00327980"/>
    <w:rsid w:val="003279DF"/>
    <w:rsid w:val="00327C88"/>
    <w:rsid w:val="00330488"/>
    <w:rsid w:val="0033053D"/>
    <w:rsid w:val="003311B0"/>
    <w:rsid w:val="00331537"/>
    <w:rsid w:val="00331DBB"/>
    <w:rsid w:val="00331F74"/>
    <w:rsid w:val="0033212F"/>
    <w:rsid w:val="00332A14"/>
    <w:rsid w:val="00332BF6"/>
    <w:rsid w:val="003331D1"/>
    <w:rsid w:val="00333847"/>
    <w:rsid w:val="00333E5F"/>
    <w:rsid w:val="0033402E"/>
    <w:rsid w:val="0033410A"/>
    <w:rsid w:val="0033427E"/>
    <w:rsid w:val="0033549F"/>
    <w:rsid w:val="00335A18"/>
    <w:rsid w:val="00335AEA"/>
    <w:rsid w:val="00335BF1"/>
    <w:rsid w:val="003369CB"/>
    <w:rsid w:val="00336C6B"/>
    <w:rsid w:val="00337027"/>
    <w:rsid w:val="00340365"/>
    <w:rsid w:val="00340D55"/>
    <w:rsid w:val="003413DD"/>
    <w:rsid w:val="00341F4F"/>
    <w:rsid w:val="00341F50"/>
    <w:rsid w:val="00342026"/>
    <w:rsid w:val="00342183"/>
    <w:rsid w:val="003422E0"/>
    <w:rsid w:val="003424AD"/>
    <w:rsid w:val="00342658"/>
    <w:rsid w:val="00342B03"/>
    <w:rsid w:val="00342C28"/>
    <w:rsid w:val="0034319F"/>
    <w:rsid w:val="00343647"/>
    <w:rsid w:val="00343797"/>
    <w:rsid w:val="0034382E"/>
    <w:rsid w:val="00343A25"/>
    <w:rsid w:val="00343B3A"/>
    <w:rsid w:val="003442F3"/>
    <w:rsid w:val="00345A5E"/>
    <w:rsid w:val="00345B3B"/>
    <w:rsid w:val="00345EBE"/>
    <w:rsid w:val="003460FE"/>
    <w:rsid w:val="00346273"/>
    <w:rsid w:val="003462A2"/>
    <w:rsid w:val="00346F4B"/>
    <w:rsid w:val="003476DE"/>
    <w:rsid w:val="00347DEC"/>
    <w:rsid w:val="00350851"/>
    <w:rsid w:val="0035097E"/>
    <w:rsid w:val="00350C9F"/>
    <w:rsid w:val="00350EB4"/>
    <w:rsid w:val="0035112D"/>
    <w:rsid w:val="00351369"/>
    <w:rsid w:val="0035214C"/>
    <w:rsid w:val="00352BE2"/>
    <w:rsid w:val="00352EBF"/>
    <w:rsid w:val="0035355E"/>
    <w:rsid w:val="003541DE"/>
    <w:rsid w:val="00354344"/>
    <w:rsid w:val="0035553E"/>
    <w:rsid w:val="003556D1"/>
    <w:rsid w:val="00355B13"/>
    <w:rsid w:val="00355D62"/>
    <w:rsid w:val="00355DFD"/>
    <w:rsid w:val="00360005"/>
    <w:rsid w:val="00360BA6"/>
    <w:rsid w:val="00360F8C"/>
    <w:rsid w:val="00361172"/>
    <w:rsid w:val="00361A91"/>
    <w:rsid w:val="00361CCE"/>
    <w:rsid w:val="0036208F"/>
    <w:rsid w:val="003623C9"/>
    <w:rsid w:val="00362867"/>
    <w:rsid w:val="003637DB"/>
    <w:rsid w:val="00363D91"/>
    <w:rsid w:val="003646DE"/>
    <w:rsid w:val="00364B0B"/>
    <w:rsid w:val="00364F3B"/>
    <w:rsid w:val="00365884"/>
    <w:rsid w:val="00365E23"/>
    <w:rsid w:val="00365F76"/>
    <w:rsid w:val="0036602C"/>
    <w:rsid w:val="0036772C"/>
    <w:rsid w:val="0036796E"/>
    <w:rsid w:val="00367A74"/>
    <w:rsid w:val="00367B58"/>
    <w:rsid w:val="00370050"/>
    <w:rsid w:val="00370538"/>
    <w:rsid w:val="0037058B"/>
    <w:rsid w:val="0037140B"/>
    <w:rsid w:val="00371906"/>
    <w:rsid w:val="00372917"/>
    <w:rsid w:val="003730C9"/>
    <w:rsid w:val="00373645"/>
    <w:rsid w:val="003739BC"/>
    <w:rsid w:val="003745F7"/>
    <w:rsid w:val="00374784"/>
    <w:rsid w:val="00374B89"/>
    <w:rsid w:val="00375726"/>
    <w:rsid w:val="00376503"/>
    <w:rsid w:val="00376515"/>
    <w:rsid w:val="00376AC7"/>
    <w:rsid w:val="00376C95"/>
    <w:rsid w:val="00376CA7"/>
    <w:rsid w:val="00377BDE"/>
    <w:rsid w:val="00377F36"/>
    <w:rsid w:val="00380202"/>
    <w:rsid w:val="0038129C"/>
    <w:rsid w:val="0038143C"/>
    <w:rsid w:val="00381593"/>
    <w:rsid w:val="00381A12"/>
    <w:rsid w:val="00381CFC"/>
    <w:rsid w:val="0038265D"/>
    <w:rsid w:val="00382709"/>
    <w:rsid w:val="00383A31"/>
    <w:rsid w:val="00383A88"/>
    <w:rsid w:val="00384880"/>
    <w:rsid w:val="00384AEC"/>
    <w:rsid w:val="003862B9"/>
    <w:rsid w:val="00386888"/>
    <w:rsid w:val="00386A1A"/>
    <w:rsid w:val="00387469"/>
    <w:rsid w:val="003901EE"/>
    <w:rsid w:val="003907F9"/>
    <w:rsid w:val="00390872"/>
    <w:rsid w:val="00390B28"/>
    <w:rsid w:val="003910FF"/>
    <w:rsid w:val="003916F0"/>
    <w:rsid w:val="00391991"/>
    <w:rsid w:val="00391DCB"/>
    <w:rsid w:val="0039206C"/>
    <w:rsid w:val="00393541"/>
    <w:rsid w:val="00393629"/>
    <w:rsid w:val="0039550D"/>
    <w:rsid w:val="0039577A"/>
    <w:rsid w:val="00395DB3"/>
    <w:rsid w:val="003971EA"/>
    <w:rsid w:val="00397424"/>
    <w:rsid w:val="00397E86"/>
    <w:rsid w:val="003A00B2"/>
    <w:rsid w:val="003A01C3"/>
    <w:rsid w:val="003A0C8C"/>
    <w:rsid w:val="003A17BA"/>
    <w:rsid w:val="003A18E0"/>
    <w:rsid w:val="003A19F3"/>
    <w:rsid w:val="003A2306"/>
    <w:rsid w:val="003A2779"/>
    <w:rsid w:val="003A2BC1"/>
    <w:rsid w:val="003A3D58"/>
    <w:rsid w:val="003A41B0"/>
    <w:rsid w:val="003A41CD"/>
    <w:rsid w:val="003A4E78"/>
    <w:rsid w:val="003A5905"/>
    <w:rsid w:val="003A5EE5"/>
    <w:rsid w:val="003A60B2"/>
    <w:rsid w:val="003A646D"/>
    <w:rsid w:val="003A65A3"/>
    <w:rsid w:val="003A6719"/>
    <w:rsid w:val="003A6765"/>
    <w:rsid w:val="003A7639"/>
    <w:rsid w:val="003A766D"/>
    <w:rsid w:val="003B019A"/>
    <w:rsid w:val="003B01D6"/>
    <w:rsid w:val="003B03E0"/>
    <w:rsid w:val="003B0818"/>
    <w:rsid w:val="003B08C5"/>
    <w:rsid w:val="003B0DD5"/>
    <w:rsid w:val="003B100A"/>
    <w:rsid w:val="003B1464"/>
    <w:rsid w:val="003B17EB"/>
    <w:rsid w:val="003B18CE"/>
    <w:rsid w:val="003B1F56"/>
    <w:rsid w:val="003B25E8"/>
    <w:rsid w:val="003B2755"/>
    <w:rsid w:val="003B2CD9"/>
    <w:rsid w:val="003B2D1D"/>
    <w:rsid w:val="003B321E"/>
    <w:rsid w:val="003B322B"/>
    <w:rsid w:val="003B3D41"/>
    <w:rsid w:val="003B47DB"/>
    <w:rsid w:val="003B4B68"/>
    <w:rsid w:val="003B53B2"/>
    <w:rsid w:val="003B5719"/>
    <w:rsid w:val="003B59FA"/>
    <w:rsid w:val="003B5E40"/>
    <w:rsid w:val="003B6431"/>
    <w:rsid w:val="003B661E"/>
    <w:rsid w:val="003B732E"/>
    <w:rsid w:val="003B744C"/>
    <w:rsid w:val="003B7E3E"/>
    <w:rsid w:val="003B7FC1"/>
    <w:rsid w:val="003C0078"/>
    <w:rsid w:val="003C033D"/>
    <w:rsid w:val="003C12BB"/>
    <w:rsid w:val="003C21BF"/>
    <w:rsid w:val="003C2357"/>
    <w:rsid w:val="003C2E96"/>
    <w:rsid w:val="003C3495"/>
    <w:rsid w:val="003C3856"/>
    <w:rsid w:val="003C39F5"/>
    <w:rsid w:val="003C3F9F"/>
    <w:rsid w:val="003C4205"/>
    <w:rsid w:val="003C4226"/>
    <w:rsid w:val="003C4B2B"/>
    <w:rsid w:val="003C4F11"/>
    <w:rsid w:val="003C53BD"/>
    <w:rsid w:val="003C5A07"/>
    <w:rsid w:val="003C6195"/>
    <w:rsid w:val="003C69C3"/>
    <w:rsid w:val="003C6D55"/>
    <w:rsid w:val="003C6F1B"/>
    <w:rsid w:val="003C7673"/>
    <w:rsid w:val="003C7EDD"/>
    <w:rsid w:val="003D01CE"/>
    <w:rsid w:val="003D02B6"/>
    <w:rsid w:val="003D0424"/>
    <w:rsid w:val="003D15E4"/>
    <w:rsid w:val="003D17C2"/>
    <w:rsid w:val="003D19B9"/>
    <w:rsid w:val="003D2A6C"/>
    <w:rsid w:val="003D3398"/>
    <w:rsid w:val="003D423D"/>
    <w:rsid w:val="003D4A5B"/>
    <w:rsid w:val="003D52B9"/>
    <w:rsid w:val="003D541B"/>
    <w:rsid w:val="003D55B2"/>
    <w:rsid w:val="003D55F9"/>
    <w:rsid w:val="003D5906"/>
    <w:rsid w:val="003D5A6F"/>
    <w:rsid w:val="003D5FC5"/>
    <w:rsid w:val="003D638A"/>
    <w:rsid w:val="003D6F40"/>
    <w:rsid w:val="003D746A"/>
    <w:rsid w:val="003D7D7A"/>
    <w:rsid w:val="003E0AB6"/>
    <w:rsid w:val="003E12A9"/>
    <w:rsid w:val="003E1CBA"/>
    <w:rsid w:val="003E1DAB"/>
    <w:rsid w:val="003E2A05"/>
    <w:rsid w:val="003E2CF8"/>
    <w:rsid w:val="003E2D69"/>
    <w:rsid w:val="003E3512"/>
    <w:rsid w:val="003E3706"/>
    <w:rsid w:val="003E4234"/>
    <w:rsid w:val="003E4807"/>
    <w:rsid w:val="003E4B54"/>
    <w:rsid w:val="003E4BCD"/>
    <w:rsid w:val="003E52D5"/>
    <w:rsid w:val="003E5C88"/>
    <w:rsid w:val="003E607E"/>
    <w:rsid w:val="003E66DC"/>
    <w:rsid w:val="003E7445"/>
    <w:rsid w:val="003E7862"/>
    <w:rsid w:val="003E7A90"/>
    <w:rsid w:val="003F02AE"/>
    <w:rsid w:val="003F0CBA"/>
    <w:rsid w:val="003F2274"/>
    <w:rsid w:val="003F28B7"/>
    <w:rsid w:val="003F28CC"/>
    <w:rsid w:val="003F2A59"/>
    <w:rsid w:val="003F2F2D"/>
    <w:rsid w:val="003F319F"/>
    <w:rsid w:val="003F33F6"/>
    <w:rsid w:val="003F3D5E"/>
    <w:rsid w:val="003F40DD"/>
    <w:rsid w:val="003F4C18"/>
    <w:rsid w:val="003F51B3"/>
    <w:rsid w:val="003F5EBF"/>
    <w:rsid w:val="003F607C"/>
    <w:rsid w:val="003F63DD"/>
    <w:rsid w:val="003F6519"/>
    <w:rsid w:val="003F66D7"/>
    <w:rsid w:val="003F74A5"/>
    <w:rsid w:val="003F74AA"/>
    <w:rsid w:val="003F7955"/>
    <w:rsid w:val="003F7C2E"/>
    <w:rsid w:val="004012EC"/>
    <w:rsid w:val="0040283B"/>
    <w:rsid w:val="0040392A"/>
    <w:rsid w:val="00404083"/>
    <w:rsid w:val="00404446"/>
    <w:rsid w:val="0040448B"/>
    <w:rsid w:val="004045D7"/>
    <w:rsid w:val="004046E7"/>
    <w:rsid w:val="00404771"/>
    <w:rsid w:val="00404791"/>
    <w:rsid w:val="004048A2"/>
    <w:rsid w:val="00405B50"/>
    <w:rsid w:val="00405B9F"/>
    <w:rsid w:val="0040603D"/>
    <w:rsid w:val="0040622A"/>
    <w:rsid w:val="0040630C"/>
    <w:rsid w:val="00406999"/>
    <w:rsid w:val="00406DE1"/>
    <w:rsid w:val="004071EE"/>
    <w:rsid w:val="0041008A"/>
    <w:rsid w:val="00410AB0"/>
    <w:rsid w:val="0041178D"/>
    <w:rsid w:val="00412995"/>
    <w:rsid w:val="00412AF1"/>
    <w:rsid w:val="00412ECC"/>
    <w:rsid w:val="004130FE"/>
    <w:rsid w:val="004135F5"/>
    <w:rsid w:val="00414532"/>
    <w:rsid w:val="00414AF7"/>
    <w:rsid w:val="004154A2"/>
    <w:rsid w:val="00415B5C"/>
    <w:rsid w:val="00415EFD"/>
    <w:rsid w:val="00416AB2"/>
    <w:rsid w:val="00416CC4"/>
    <w:rsid w:val="004200AE"/>
    <w:rsid w:val="0042063E"/>
    <w:rsid w:val="004206BE"/>
    <w:rsid w:val="00421792"/>
    <w:rsid w:val="00421B36"/>
    <w:rsid w:val="00421BCF"/>
    <w:rsid w:val="004221BF"/>
    <w:rsid w:val="004221FE"/>
    <w:rsid w:val="00422300"/>
    <w:rsid w:val="00422353"/>
    <w:rsid w:val="00422782"/>
    <w:rsid w:val="00422E3C"/>
    <w:rsid w:val="004246D8"/>
    <w:rsid w:val="00425F00"/>
    <w:rsid w:val="00425F22"/>
    <w:rsid w:val="00426395"/>
    <w:rsid w:val="00426503"/>
    <w:rsid w:val="0042687F"/>
    <w:rsid w:val="0042693F"/>
    <w:rsid w:val="00427229"/>
    <w:rsid w:val="004278F0"/>
    <w:rsid w:val="00427B6E"/>
    <w:rsid w:val="00427FB9"/>
    <w:rsid w:val="00430529"/>
    <w:rsid w:val="004306E3"/>
    <w:rsid w:val="00430F6F"/>
    <w:rsid w:val="00431176"/>
    <w:rsid w:val="00431214"/>
    <w:rsid w:val="00431B26"/>
    <w:rsid w:val="00431C28"/>
    <w:rsid w:val="00431F12"/>
    <w:rsid w:val="0043200C"/>
    <w:rsid w:val="0043240F"/>
    <w:rsid w:val="0043250E"/>
    <w:rsid w:val="004325D8"/>
    <w:rsid w:val="004329EE"/>
    <w:rsid w:val="00432CEB"/>
    <w:rsid w:val="00432E65"/>
    <w:rsid w:val="00432EC0"/>
    <w:rsid w:val="0043308A"/>
    <w:rsid w:val="00433813"/>
    <w:rsid w:val="004339A6"/>
    <w:rsid w:val="00433ABA"/>
    <w:rsid w:val="00433D16"/>
    <w:rsid w:val="00433F0D"/>
    <w:rsid w:val="00433F57"/>
    <w:rsid w:val="004342D8"/>
    <w:rsid w:val="00434394"/>
    <w:rsid w:val="00434D3D"/>
    <w:rsid w:val="0043515E"/>
    <w:rsid w:val="0043517E"/>
    <w:rsid w:val="0043538A"/>
    <w:rsid w:val="00435937"/>
    <w:rsid w:val="00435C2A"/>
    <w:rsid w:val="00435CF0"/>
    <w:rsid w:val="00435F55"/>
    <w:rsid w:val="004360FC"/>
    <w:rsid w:val="004364DA"/>
    <w:rsid w:val="004375D4"/>
    <w:rsid w:val="0044025E"/>
    <w:rsid w:val="004413C8"/>
    <w:rsid w:val="00441615"/>
    <w:rsid w:val="00441A06"/>
    <w:rsid w:val="00441AB0"/>
    <w:rsid w:val="00441AD9"/>
    <w:rsid w:val="00441DA2"/>
    <w:rsid w:val="00442D23"/>
    <w:rsid w:val="004436CC"/>
    <w:rsid w:val="004436DE"/>
    <w:rsid w:val="004438D4"/>
    <w:rsid w:val="00443E89"/>
    <w:rsid w:val="00444027"/>
    <w:rsid w:val="0044404A"/>
    <w:rsid w:val="00445E44"/>
    <w:rsid w:val="00445E9C"/>
    <w:rsid w:val="0044637F"/>
    <w:rsid w:val="00446EE9"/>
    <w:rsid w:val="004477CA"/>
    <w:rsid w:val="0044788E"/>
    <w:rsid w:val="00447EF9"/>
    <w:rsid w:val="0045004F"/>
    <w:rsid w:val="004504FB"/>
    <w:rsid w:val="0045086F"/>
    <w:rsid w:val="004508DE"/>
    <w:rsid w:val="0045149E"/>
    <w:rsid w:val="004524D6"/>
    <w:rsid w:val="004527D7"/>
    <w:rsid w:val="004529D3"/>
    <w:rsid w:val="00452B03"/>
    <w:rsid w:val="00453F9F"/>
    <w:rsid w:val="004549DA"/>
    <w:rsid w:val="0045517C"/>
    <w:rsid w:val="004553BA"/>
    <w:rsid w:val="00455687"/>
    <w:rsid w:val="004557FB"/>
    <w:rsid w:val="00455DD3"/>
    <w:rsid w:val="00456C8D"/>
    <w:rsid w:val="00456D2A"/>
    <w:rsid w:val="00456EAC"/>
    <w:rsid w:val="00457792"/>
    <w:rsid w:val="00457A5F"/>
    <w:rsid w:val="00457DD5"/>
    <w:rsid w:val="00460092"/>
    <w:rsid w:val="004607F9"/>
    <w:rsid w:val="00460B7E"/>
    <w:rsid w:val="00461006"/>
    <w:rsid w:val="0046100B"/>
    <w:rsid w:val="00461028"/>
    <w:rsid w:val="00461464"/>
    <w:rsid w:val="00461F4E"/>
    <w:rsid w:val="00462FDD"/>
    <w:rsid w:val="004633B9"/>
    <w:rsid w:val="00464092"/>
    <w:rsid w:val="004642E2"/>
    <w:rsid w:val="00465309"/>
    <w:rsid w:val="004657A5"/>
    <w:rsid w:val="004658B5"/>
    <w:rsid w:val="00465A7F"/>
    <w:rsid w:val="00465C94"/>
    <w:rsid w:val="00465EAD"/>
    <w:rsid w:val="004663EF"/>
    <w:rsid w:val="00466587"/>
    <w:rsid w:val="004669E0"/>
    <w:rsid w:val="004672A8"/>
    <w:rsid w:val="004706CE"/>
    <w:rsid w:val="00470DC0"/>
    <w:rsid w:val="00470EC3"/>
    <w:rsid w:val="004721E1"/>
    <w:rsid w:val="004723D4"/>
    <w:rsid w:val="00472741"/>
    <w:rsid w:val="00472E9C"/>
    <w:rsid w:val="004736B7"/>
    <w:rsid w:val="00473E29"/>
    <w:rsid w:val="00474075"/>
    <w:rsid w:val="0047459A"/>
    <w:rsid w:val="00474861"/>
    <w:rsid w:val="00475884"/>
    <w:rsid w:val="00475A0A"/>
    <w:rsid w:val="004766A5"/>
    <w:rsid w:val="004766C9"/>
    <w:rsid w:val="00476D69"/>
    <w:rsid w:val="0047716A"/>
    <w:rsid w:val="00477B28"/>
    <w:rsid w:val="00480B6E"/>
    <w:rsid w:val="00480EA5"/>
    <w:rsid w:val="0048115F"/>
    <w:rsid w:val="004816A2"/>
    <w:rsid w:val="00481932"/>
    <w:rsid w:val="004820FE"/>
    <w:rsid w:val="00482487"/>
    <w:rsid w:val="004826F3"/>
    <w:rsid w:val="00482CEC"/>
    <w:rsid w:val="004840FB"/>
    <w:rsid w:val="004844BD"/>
    <w:rsid w:val="0048452D"/>
    <w:rsid w:val="00484A25"/>
    <w:rsid w:val="00484B10"/>
    <w:rsid w:val="00484DDC"/>
    <w:rsid w:val="00486181"/>
    <w:rsid w:val="004869CA"/>
    <w:rsid w:val="00486BAE"/>
    <w:rsid w:val="004870ED"/>
    <w:rsid w:val="00487173"/>
    <w:rsid w:val="004877B4"/>
    <w:rsid w:val="00487CB8"/>
    <w:rsid w:val="00490173"/>
    <w:rsid w:val="0049140B"/>
    <w:rsid w:val="0049167A"/>
    <w:rsid w:val="0049189D"/>
    <w:rsid w:val="00491F5C"/>
    <w:rsid w:val="00491FF7"/>
    <w:rsid w:val="00492FB7"/>
    <w:rsid w:val="00493BAA"/>
    <w:rsid w:val="00494A9F"/>
    <w:rsid w:val="00494E12"/>
    <w:rsid w:val="00495345"/>
    <w:rsid w:val="004956DA"/>
    <w:rsid w:val="00496112"/>
    <w:rsid w:val="004968D3"/>
    <w:rsid w:val="004969A7"/>
    <w:rsid w:val="0049761B"/>
    <w:rsid w:val="00497840"/>
    <w:rsid w:val="004A0152"/>
    <w:rsid w:val="004A02D0"/>
    <w:rsid w:val="004A06AA"/>
    <w:rsid w:val="004A1121"/>
    <w:rsid w:val="004A1C37"/>
    <w:rsid w:val="004A21FA"/>
    <w:rsid w:val="004A237F"/>
    <w:rsid w:val="004A2905"/>
    <w:rsid w:val="004A2D14"/>
    <w:rsid w:val="004A2EDF"/>
    <w:rsid w:val="004A2FDC"/>
    <w:rsid w:val="004A3580"/>
    <w:rsid w:val="004A3AAD"/>
    <w:rsid w:val="004A41B3"/>
    <w:rsid w:val="004A426C"/>
    <w:rsid w:val="004A4852"/>
    <w:rsid w:val="004A4B4F"/>
    <w:rsid w:val="004A561A"/>
    <w:rsid w:val="004A5897"/>
    <w:rsid w:val="004A626A"/>
    <w:rsid w:val="004A6844"/>
    <w:rsid w:val="004A695F"/>
    <w:rsid w:val="004A6AE7"/>
    <w:rsid w:val="004A785B"/>
    <w:rsid w:val="004B0AC1"/>
    <w:rsid w:val="004B0BD0"/>
    <w:rsid w:val="004B0C91"/>
    <w:rsid w:val="004B127C"/>
    <w:rsid w:val="004B15B6"/>
    <w:rsid w:val="004B1D0E"/>
    <w:rsid w:val="004B1FC7"/>
    <w:rsid w:val="004B251E"/>
    <w:rsid w:val="004B280D"/>
    <w:rsid w:val="004B2C33"/>
    <w:rsid w:val="004B3447"/>
    <w:rsid w:val="004B3907"/>
    <w:rsid w:val="004B47F2"/>
    <w:rsid w:val="004B4D82"/>
    <w:rsid w:val="004B4EA4"/>
    <w:rsid w:val="004B5B12"/>
    <w:rsid w:val="004B5E66"/>
    <w:rsid w:val="004B62B6"/>
    <w:rsid w:val="004B67D3"/>
    <w:rsid w:val="004B6E9A"/>
    <w:rsid w:val="004B7043"/>
    <w:rsid w:val="004C1D81"/>
    <w:rsid w:val="004C1F75"/>
    <w:rsid w:val="004C248B"/>
    <w:rsid w:val="004C2A40"/>
    <w:rsid w:val="004C2DC0"/>
    <w:rsid w:val="004C30F0"/>
    <w:rsid w:val="004C37B6"/>
    <w:rsid w:val="004C4CAC"/>
    <w:rsid w:val="004C57D6"/>
    <w:rsid w:val="004C5CA4"/>
    <w:rsid w:val="004C5DB2"/>
    <w:rsid w:val="004C614C"/>
    <w:rsid w:val="004C6690"/>
    <w:rsid w:val="004C67AD"/>
    <w:rsid w:val="004C6E6C"/>
    <w:rsid w:val="004C720D"/>
    <w:rsid w:val="004C730A"/>
    <w:rsid w:val="004C7335"/>
    <w:rsid w:val="004C7584"/>
    <w:rsid w:val="004C7BA0"/>
    <w:rsid w:val="004D02D4"/>
    <w:rsid w:val="004D0658"/>
    <w:rsid w:val="004D11B2"/>
    <w:rsid w:val="004D13CE"/>
    <w:rsid w:val="004D145C"/>
    <w:rsid w:val="004D246D"/>
    <w:rsid w:val="004D2AA1"/>
    <w:rsid w:val="004D2B87"/>
    <w:rsid w:val="004D2C1C"/>
    <w:rsid w:val="004D31A7"/>
    <w:rsid w:val="004D3302"/>
    <w:rsid w:val="004D34CF"/>
    <w:rsid w:val="004D3549"/>
    <w:rsid w:val="004D3B6C"/>
    <w:rsid w:val="004D409B"/>
    <w:rsid w:val="004D4BB5"/>
    <w:rsid w:val="004D5343"/>
    <w:rsid w:val="004D6090"/>
    <w:rsid w:val="004D6D78"/>
    <w:rsid w:val="004D7A61"/>
    <w:rsid w:val="004D7B25"/>
    <w:rsid w:val="004D7D4A"/>
    <w:rsid w:val="004D7D55"/>
    <w:rsid w:val="004E0EB6"/>
    <w:rsid w:val="004E1350"/>
    <w:rsid w:val="004E1D56"/>
    <w:rsid w:val="004E2DBF"/>
    <w:rsid w:val="004E2E4B"/>
    <w:rsid w:val="004E359D"/>
    <w:rsid w:val="004E387B"/>
    <w:rsid w:val="004E39A0"/>
    <w:rsid w:val="004E5071"/>
    <w:rsid w:val="004E524E"/>
    <w:rsid w:val="004E5F88"/>
    <w:rsid w:val="004E6717"/>
    <w:rsid w:val="004E679B"/>
    <w:rsid w:val="004E78E7"/>
    <w:rsid w:val="004F04EE"/>
    <w:rsid w:val="004F0634"/>
    <w:rsid w:val="004F0F88"/>
    <w:rsid w:val="004F20A6"/>
    <w:rsid w:val="004F23C3"/>
    <w:rsid w:val="004F2610"/>
    <w:rsid w:val="004F2739"/>
    <w:rsid w:val="004F37BC"/>
    <w:rsid w:val="004F3ABE"/>
    <w:rsid w:val="004F3B16"/>
    <w:rsid w:val="004F4242"/>
    <w:rsid w:val="004F43E6"/>
    <w:rsid w:val="004F44BD"/>
    <w:rsid w:val="004F4F29"/>
    <w:rsid w:val="004F4F6B"/>
    <w:rsid w:val="004F5794"/>
    <w:rsid w:val="004F5934"/>
    <w:rsid w:val="004F5EEA"/>
    <w:rsid w:val="004F7A56"/>
    <w:rsid w:val="004F7E72"/>
    <w:rsid w:val="00500288"/>
    <w:rsid w:val="00500405"/>
    <w:rsid w:val="00500E83"/>
    <w:rsid w:val="0050118B"/>
    <w:rsid w:val="00501666"/>
    <w:rsid w:val="00501884"/>
    <w:rsid w:val="00501A64"/>
    <w:rsid w:val="00502070"/>
    <w:rsid w:val="005021DA"/>
    <w:rsid w:val="00502431"/>
    <w:rsid w:val="00502CC5"/>
    <w:rsid w:val="005032EB"/>
    <w:rsid w:val="00503377"/>
    <w:rsid w:val="00503C23"/>
    <w:rsid w:val="00503CAB"/>
    <w:rsid w:val="00503E00"/>
    <w:rsid w:val="00504FAB"/>
    <w:rsid w:val="005050E0"/>
    <w:rsid w:val="00505115"/>
    <w:rsid w:val="00505306"/>
    <w:rsid w:val="00505568"/>
    <w:rsid w:val="00505C0E"/>
    <w:rsid w:val="00505CBB"/>
    <w:rsid w:val="005062F9"/>
    <w:rsid w:val="005073A2"/>
    <w:rsid w:val="00507B3B"/>
    <w:rsid w:val="005103CB"/>
    <w:rsid w:val="00510CE1"/>
    <w:rsid w:val="00510D45"/>
    <w:rsid w:val="00510D83"/>
    <w:rsid w:val="005110BC"/>
    <w:rsid w:val="00511B83"/>
    <w:rsid w:val="00511C43"/>
    <w:rsid w:val="00511D6B"/>
    <w:rsid w:val="005124BB"/>
    <w:rsid w:val="00512ACC"/>
    <w:rsid w:val="00512D48"/>
    <w:rsid w:val="00512D5B"/>
    <w:rsid w:val="00513A84"/>
    <w:rsid w:val="0051404D"/>
    <w:rsid w:val="005147CD"/>
    <w:rsid w:val="00514965"/>
    <w:rsid w:val="00514AB3"/>
    <w:rsid w:val="0051518B"/>
    <w:rsid w:val="005154EF"/>
    <w:rsid w:val="005158FD"/>
    <w:rsid w:val="00515ACE"/>
    <w:rsid w:val="005170F6"/>
    <w:rsid w:val="00517CB3"/>
    <w:rsid w:val="00520B04"/>
    <w:rsid w:val="00521ECE"/>
    <w:rsid w:val="00521FB7"/>
    <w:rsid w:val="005224FC"/>
    <w:rsid w:val="00523211"/>
    <w:rsid w:val="005236EE"/>
    <w:rsid w:val="00523BA2"/>
    <w:rsid w:val="0052409D"/>
    <w:rsid w:val="005242E2"/>
    <w:rsid w:val="00524D99"/>
    <w:rsid w:val="00524F76"/>
    <w:rsid w:val="005253D1"/>
    <w:rsid w:val="00525701"/>
    <w:rsid w:val="00526129"/>
    <w:rsid w:val="005266CA"/>
    <w:rsid w:val="00526DAB"/>
    <w:rsid w:val="005278AB"/>
    <w:rsid w:val="00527A7A"/>
    <w:rsid w:val="00527D4C"/>
    <w:rsid w:val="00530CE2"/>
    <w:rsid w:val="00530DB1"/>
    <w:rsid w:val="00530E63"/>
    <w:rsid w:val="005313BD"/>
    <w:rsid w:val="005315E5"/>
    <w:rsid w:val="0053180C"/>
    <w:rsid w:val="005318EE"/>
    <w:rsid w:val="00532092"/>
    <w:rsid w:val="0053240B"/>
    <w:rsid w:val="00532535"/>
    <w:rsid w:val="00533322"/>
    <w:rsid w:val="0053365C"/>
    <w:rsid w:val="0053387D"/>
    <w:rsid w:val="00533C22"/>
    <w:rsid w:val="00534335"/>
    <w:rsid w:val="00534697"/>
    <w:rsid w:val="005347BB"/>
    <w:rsid w:val="00534DB9"/>
    <w:rsid w:val="00535F32"/>
    <w:rsid w:val="005361A9"/>
    <w:rsid w:val="0053657A"/>
    <w:rsid w:val="005369B1"/>
    <w:rsid w:val="00536BA2"/>
    <w:rsid w:val="00537F28"/>
    <w:rsid w:val="005411AF"/>
    <w:rsid w:val="005420EE"/>
    <w:rsid w:val="0054284D"/>
    <w:rsid w:val="00542A07"/>
    <w:rsid w:val="00542DB8"/>
    <w:rsid w:val="0054325F"/>
    <w:rsid w:val="00543B6D"/>
    <w:rsid w:val="00543BAE"/>
    <w:rsid w:val="00544188"/>
    <w:rsid w:val="005448C6"/>
    <w:rsid w:val="00544EBD"/>
    <w:rsid w:val="00545889"/>
    <w:rsid w:val="00545A9F"/>
    <w:rsid w:val="00545CAC"/>
    <w:rsid w:val="00545EAA"/>
    <w:rsid w:val="00546862"/>
    <w:rsid w:val="0054725F"/>
    <w:rsid w:val="005478B6"/>
    <w:rsid w:val="00547D59"/>
    <w:rsid w:val="00550661"/>
    <w:rsid w:val="005514CB"/>
    <w:rsid w:val="00551E85"/>
    <w:rsid w:val="0055258B"/>
    <w:rsid w:val="005536F9"/>
    <w:rsid w:val="00553F4C"/>
    <w:rsid w:val="00554150"/>
    <w:rsid w:val="005543A8"/>
    <w:rsid w:val="0055445B"/>
    <w:rsid w:val="00555B32"/>
    <w:rsid w:val="00555EE4"/>
    <w:rsid w:val="005561DF"/>
    <w:rsid w:val="00556B25"/>
    <w:rsid w:val="005578B0"/>
    <w:rsid w:val="00557A02"/>
    <w:rsid w:val="00560DB5"/>
    <w:rsid w:val="00561024"/>
    <w:rsid w:val="005613D5"/>
    <w:rsid w:val="0056234F"/>
    <w:rsid w:val="00562905"/>
    <w:rsid w:val="00563123"/>
    <w:rsid w:val="005635E5"/>
    <w:rsid w:val="005638DC"/>
    <w:rsid w:val="00563D64"/>
    <w:rsid w:val="00566367"/>
    <w:rsid w:val="00566DAD"/>
    <w:rsid w:val="00566E56"/>
    <w:rsid w:val="00570A44"/>
    <w:rsid w:val="00570C7A"/>
    <w:rsid w:val="00570E70"/>
    <w:rsid w:val="00570F4B"/>
    <w:rsid w:val="0057170C"/>
    <w:rsid w:val="0057257E"/>
    <w:rsid w:val="0057263A"/>
    <w:rsid w:val="00572682"/>
    <w:rsid w:val="0057277B"/>
    <w:rsid w:val="00572E84"/>
    <w:rsid w:val="0057301F"/>
    <w:rsid w:val="005731DD"/>
    <w:rsid w:val="00573AC1"/>
    <w:rsid w:val="00573D7D"/>
    <w:rsid w:val="00574D82"/>
    <w:rsid w:val="00574D89"/>
    <w:rsid w:val="00575485"/>
    <w:rsid w:val="005757E0"/>
    <w:rsid w:val="00575BDF"/>
    <w:rsid w:val="00575D7B"/>
    <w:rsid w:val="005761FD"/>
    <w:rsid w:val="00576844"/>
    <w:rsid w:val="005769EF"/>
    <w:rsid w:val="005779FA"/>
    <w:rsid w:val="005806EA"/>
    <w:rsid w:val="00581333"/>
    <w:rsid w:val="0058142E"/>
    <w:rsid w:val="00581A2F"/>
    <w:rsid w:val="00581FFB"/>
    <w:rsid w:val="00582488"/>
    <w:rsid w:val="005827D6"/>
    <w:rsid w:val="005832B5"/>
    <w:rsid w:val="00584756"/>
    <w:rsid w:val="00584780"/>
    <w:rsid w:val="00584DC9"/>
    <w:rsid w:val="00585086"/>
    <w:rsid w:val="00585F53"/>
    <w:rsid w:val="00586087"/>
    <w:rsid w:val="00587198"/>
    <w:rsid w:val="0058727E"/>
    <w:rsid w:val="00590078"/>
    <w:rsid w:val="0059009F"/>
    <w:rsid w:val="005909E9"/>
    <w:rsid w:val="00590EA4"/>
    <w:rsid w:val="00590F26"/>
    <w:rsid w:val="0059183B"/>
    <w:rsid w:val="00591AA2"/>
    <w:rsid w:val="005921D2"/>
    <w:rsid w:val="005923C5"/>
    <w:rsid w:val="005928E7"/>
    <w:rsid w:val="00592D17"/>
    <w:rsid w:val="00592D25"/>
    <w:rsid w:val="00592FE8"/>
    <w:rsid w:val="005936BC"/>
    <w:rsid w:val="00593975"/>
    <w:rsid w:val="00594355"/>
    <w:rsid w:val="0059463F"/>
    <w:rsid w:val="00594746"/>
    <w:rsid w:val="00594C04"/>
    <w:rsid w:val="00594FD8"/>
    <w:rsid w:val="0059669D"/>
    <w:rsid w:val="00596AEE"/>
    <w:rsid w:val="00597056"/>
    <w:rsid w:val="00597269"/>
    <w:rsid w:val="00597D78"/>
    <w:rsid w:val="005A0DE4"/>
    <w:rsid w:val="005A15F6"/>
    <w:rsid w:val="005A24FF"/>
    <w:rsid w:val="005A3079"/>
    <w:rsid w:val="005A31CE"/>
    <w:rsid w:val="005A359C"/>
    <w:rsid w:val="005A37E4"/>
    <w:rsid w:val="005A37F6"/>
    <w:rsid w:val="005A3E76"/>
    <w:rsid w:val="005A4623"/>
    <w:rsid w:val="005A4856"/>
    <w:rsid w:val="005A4C86"/>
    <w:rsid w:val="005A5D74"/>
    <w:rsid w:val="005A6246"/>
    <w:rsid w:val="005A69DA"/>
    <w:rsid w:val="005A6D2B"/>
    <w:rsid w:val="005A7239"/>
    <w:rsid w:val="005A783A"/>
    <w:rsid w:val="005A7FCE"/>
    <w:rsid w:val="005B027F"/>
    <w:rsid w:val="005B06A1"/>
    <w:rsid w:val="005B0BCD"/>
    <w:rsid w:val="005B0C92"/>
    <w:rsid w:val="005B1198"/>
    <w:rsid w:val="005B1743"/>
    <w:rsid w:val="005B197C"/>
    <w:rsid w:val="005B27E4"/>
    <w:rsid w:val="005B29F7"/>
    <w:rsid w:val="005B2C53"/>
    <w:rsid w:val="005B36EC"/>
    <w:rsid w:val="005B3E0C"/>
    <w:rsid w:val="005B3F04"/>
    <w:rsid w:val="005B4404"/>
    <w:rsid w:val="005B4CA2"/>
    <w:rsid w:val="005B5D5B"/>
    <w:rsid w:val="005B5FAA"/>
    <w:rsid w:val="005B61A9"/>
    <w:rsid w:val="005B645F"/>
    <w:rsid w:val="005B6BE6"/>
    <w:rsid w:val="005C0580"/>
    <w:rsid w:val="005C1C1A"/>
    <w:rsid w:val="005C203A"/>
    <w:rsid w:val="005C2322"/>
    <w:rsid w:val="005C262A"/>
    <w:rsid w:val="005C27B8"/>
    <w:rsid w:val="005C2E91"/>
    <w:rsid w:val="005C33F8"/>
    <w:rsid w:val="005C3D26"/>
    <w:rsid w:val="005C4444"/>
    <w:rsid w:val="005C4A31"/>
    <w:rsid w:val="005C548C"/>
    <w:rsid w:val="005C57FA"/>
    <w:rsid w:val="005C5BA3"/>
    <w:rsid w:val="005C6004"/>
    <w:rsid w:val="005C6314"/>
    <w:rsid w:val="005C6FF7"/>
    <w:rsid w:val="005C7113"/>
    <w:rsid w:val="005C795A"/>
    <w:rsid w:val="005D055C"/>
    <w:rsid w:val="005D0A3D"/>
    <w:rsid w:val="005D1DC7"/>
    <w:rsid w:val="005D25D2"/>
    <w:rsid w:val="005D2845"/>
    <w:rsid w:val="005D2E03"/>
    <w:rsid w:val="005D310D"/>
    <w:rsid w:val="005D3321"/>
    <w:rsid w:val="005D36AE"/>
    <w:rsid w:val="005D3B07"/>
    <w:rsid w:val="005D3D2C"/>
    <w:rsid w:val="005D43BD"/>
    <w:rsid w:val="005D4911"/>
    <w:rsid w:val="005D52C2"/>
    <w:rsid w:val="005D5307"/>
    <w:rsid w:val="005D58EE"/>
    <w:rsid w:val="005D5EA4"/>
    <w:rsid w:val="005D672E"/>
    <w:rsid w:val="005D70F0"/>
    <w:rsid w:val="005E0183"/>
    <w:rsid w:val="005E05A5"/>
    <w:rsid w:val="005E09AC"/>
    <w:rsid w:val="005E0AEE"/>
    <w:rsid w:val="005E0D8F"/>
    <w:rsid w:val="005E0E9E"/>
    <w:rsid w:val="005E1589"/>
    <w:rsid w:val="005E21FD"/>
    <w:rsid w:val="005E25CC"/>
    <w:rsid w:val="005E296E"/>
    <w:rsid w:val="005E2FFA"/>
    <w:rsid w:val="005E3397"/>
    <w:rsid w:val="005E348A"/>
    <w:rsid w:val="005E4233"/>
    <w:rsid w:val="005E47EB"/>
    <w:rsid w:val="005E4E4B"/>
    <w:rsid w:val="005E4E73"/>
    <w:rsid w:val="005E5014"/>
    <w:rsid w:val="005E5468"/>
    <w:rsid w:val="005E67E1"/>
    <w:rsid w:val="005E6BE6"/>
    <w:rsid w:val="005E6DF4"/>
    <w:rsid w:val="005E747B"/>
    <w:rsid w:val="005E7635"/>
    <w:rsid w:val="005E7BE1"/>
    <w:rsid w:val="005E7E38"/>
    <w:rsid w:val="005F0128"/>
    <w:rsid w:val="005F0FB1"/>
    <w:rsid w:val="005F1716"/>
    <w:rsid w:val="005F1C83"/>
    <w:rsid w:val="005F1CF9"/>
    <w:rsid w:val="005F2522"/>
    <w:rsid w:val="005F2560"/>
    <w:rsid w:val="005F2A9B"/>
    <w:rsid w:val="005F2B87"/>
    <w:rsid w:val="005F2DF4"/>
    <w:rsid w:val="005F37DA"/>
    <w:rsid w:val="005F44E2"/>
    <w:rsid w:val="005F4FBF"/>
    <w:rsid w:val="005F5492"/>
    <w:rsid w:val="005F60FC"/>
    <w:rsid w:val="005F6997"/>
    <w:rsid w:val="005F70DF"/>
    <w:rsid w:val="005F76D5"/>
    <w:rsid w:val="005F7B4C"/>
    <w:rsid w:val="005F7D99"/>
    <w:rsid w:val="00600881"/>
    <w:rsid w:val="00600D5B"/>
    <w:rsid w:val="0060188D"/>
    <w:rsid w:val="00601A04"/>
    <w:rsid w:val="00602A8C"/>
    <w:rsid w:val="0060309E"/>
    <w:rsid w:val="0060341F"/>
    <w:rsid w:val="0060345C"/>
    <w:rsid w:val="006039BB"/>
    <w:rsid w:val="00603FD7"/>
    <w:rsid w:val="006040BD"/>
    <w:rsid w:val="006041A0"/>
    <w:rsid w:val="006041FE"/>
    <w:rsid w:val="00605670"/>
    <w:rsid w:val="00605921"/>
    <w:rsid w:val="0060623B"/>
    <w:rsid w:val="00606276"/>
    <w:rsid w:val="006075D2"/>
    <w:rsid w:val="006075F1"/>
    <w:rsid w:val="0060775A"/>
    <w:rsid w:val="00607B4F"/>
    <w:rsid w:val="0061057E"/>
    <w:rsid w:val="006106F0"/>
    <w:rsid w:val="00610D6C"/>
    <w:rsid w:val="006116A2"/>
    <w:rsid w:val="00611A08"/>
    <w:rsid w:val="0061216C"/>
    <w:rsid w:val="0061222B"/>
    <w:rsid w:val="00612411"/>
    <w:rsid w:val="0061262C"/>
    <w:rsid w:val="006128BA"/>
    <w:rsid w:val="00612A00"/>
    <w:rsid w:val="00612A63"/>
    <w:rsid w:val="006134DB"/>
    <w:rsid w:val="00613786"/>
    <w:rsid w:val="0061379A"/>
    <w:rsid w:val="00613DAF"/>
    <w:rsid w:val="006146D5"/>
    <w:rsid w:val="00614929"/>
    <w:rsid w:val="00614E1E"/>
    <w:rsid w:val="00615E44"/>
    <w:rsid w:val="00616118"/>
    <w:rsid w:val="00616975"/>
    <w:rsid w:val="00617900"/>
    <w:rsid w:val="00620A79"/>
    <w:rsid w:val="00620EA4"/>
    <w:rsid w:val="0062182D"/>
    <w:rsid w:val="006228DC"/>
    <w:rsid w:val="00622982"/>
    <w:rsid w:val="00622EDE"/>
    <w:rsid w:val="00623600"/>
    <w:rsid w:val="00623938"/>
    <w:rsid w:val="00623D0C"/>
    <w:rsid w:val="00623F89"/>
    <w:rsid w:val="00624509"/>
    <w:rsid w:val="00624536"/>
    <w:rsid w:val="006253A3"/>
    <w:rsid w:val="006256A3"/>
    <w:rsid w:val="00625802"/>
    <w:rsid w:val="00625DD7"/>
    <w:rsid w:val="00625E32"/>
    <w:rsid w:val="00625F17"/>
    <w:rsid w:val="00625FB5"/>
    <w:rsid w:val="00627342"/>
    <w:rsid w:val="006273EE"/>
    <w:rsid w:val="006306D8"/>
    <w:rsid w:val="00630C48"/>
    <w:rsid w:val="00630CB2"/>
    <w:rsid w:val="00631048"/>
    <w:rsid w:val="00631500"/>
    <w:rsid w:val="006321B6"/>
    <w:rsid w:val="006325D8"/>
    <w:rsid w:val="00632E59"/>
    <w:rsid w:val="00633000"/>
    <w:rsid w:val="006330F1"/>
    <w:rsid w:val="00633A85"/>
    <w:rsid w:val="00633E4B"/>
    <w:rsid w:val="006351BB"/>
    <w:rsid w:val="00635958"/>
    <w:rsid w:val="00635E9A"/>
    <w:rsid w:val="00636F5D"/>
    <w:rsid w:val="0063710E"/>
    <w:rsid w:val="00637751"/>
    <w:rsid w:val="006402A9"/>
    <w:rsid w:val="006408CF"/>
    <w:rsid w:val="00640C1A"/>
    <w:rsid w:val="00640D2E"/>
    <w:rsid w:val="00640F05"/>
    <w:rsid w:val="00641150"/>
    <w:rsid w:val="00641721"/>
    <w:rsid w:val="006429E8"/>
    <w:rsid w:val="006430B0"/>
    <w:rsid w:val="00643550"/>
    <w:rsid w:val="00643E11"/>
    <w:rsid w:val="006441B8"/>
    <w:rsid w:val="00644591"/>
    <w:rsid w:val="00644A50"/>
    <w:rsid w:val="00644C6F"/>
    <w:rsid w:val="00645BC8"/>
    <w:rsid w:val="00645D50"/>
    <w:rsid w:val="00645E81"/>
    <w:rsid w:val="00645EE9"/>
    <w:rsid w:val="006464E3"/>
    <w:rsid w:val="00647F6A"/>
    <w:rsid w:val="00650D39"/>
    <w:rsid w:val="00651DDB"/>
    <w:rsid w:val="00651F4F"/>
    <w:rsid w:val="00651F63"/>
    <w:rsid w:val="00652364"/>
    <w:rsid w:val="0065246A"/>
    <w:rsid w:val="00652AF7"/>
    <w:rsid w:val="00652D3C"/>
    <w:rsid w:val="006538AB"/>
    <w:rsid w:val="0065420F"/>
    <w:rsid w:val="00654B2E"/>
    <w:rsid w:val="00654E1B"/>
    <w:rsid w:val="006550EC"/>
    <w:rsid w:val="006551E6"/>
    <w:rsid w:val="006554AB"/>
    <w:rsid w:val="006555F3"/>
    <w:rsid w:val="00656255"/>
    <w:rsid w:val="00656B5F"/>
    <w:rsid w:val="00656C56"/>
    <w:rsid w:val="006571B8"/>
    <w:rsid w:val="00657847"/>
    <w:rsid w:val="00660218"/>
    <w:rsid w:val="006607AC"/>
    <w:rsid w:val="00660922"/>
    <w:rsid w:val="006609F9"/>
    <w:rsid w:val="00661152"/>
    <w:rsid w:val="006616BB"/>
    <w:rsid w:val="006618B2"/>
    <w:rsid w:val="006618E0"/>
    <w:rsid w:val="006618F0"/>
    <w:rsid w:val="00661D8D"/>
    <w:rsid w:val="006624C0"/>
    <w:rsid w:val="00662673"/>
    <w:rsid w:val="00662CCC"/>
    <w:rsid w:val="00662E6C"/>
    <w:rsid w:val="00663D93"/>
    <w:rsid w:val="006647B8"/>
    <w:rsid w:val="00664885"/>
    <w:rsid w:val="00664FA9"/>
    <w:rsid w:val="006653C2"/>
    <w:rsid w:val="00665F8E"/>
    <w:rsid w:val="00666FAE"/>
    <w:rsid w:val="006676E5"/>
    <w:rsid w:val="00667897"/>
    <w:rsid w:val="00667DAC"/>
    <w:rsid w:val="006702B9"/>
    <w:rsid w:val="0067034D"/>
    <w:rsid w:val="00670C52"/>
    <w:rsid w:val="006712F5"/>
    <w:rsid w:val="006722F2"/>
    <w:rsid w:val="0067271F"/>
    <w:rsid w:val="00672D58"/>
    <w:rsid w:val="00673373"/>
    <w:rsid w:val="0067358D"/>
    <w:rsid w:val="006745FF"/>
    <w:rsid w:val="00675479"/>
    <w:rsid w:val="00675523"/>
    <w:rsid w:val="00676134"/>
    <w:rsid w:val="006762A9"/>
    <w:rsid w:val="006763C6"/>
    <w:rsid w:val="00676503"/>
    <w:rsid w:val="00677002"/>
    <w:rsid w:val="006774CE"/>
    <w:rsid w:val="00677A39"/>
    <w:rsid w:val="00680368"/>
    <w:rsid w:val="00681320"/>
    <w:rsid w:val="0068174F"/>
    <w:rsid w:val="006818D8"/>
    <w:rsid w:val="00681CD3"/>
    <w:rsid w:val="00682872"/>
    <w:rsid w:val="006828EF"/>
    <w:rsid w:val="00682DF0"/>
    <w:rsid w:val="00683B42"/>
    <w:rsid w:val="00684F38"/>
    <w:rsid w:val="00685260"/>
    <w:rsid w:val="00686273"/>
    <w:rsid w:val="00686AE3"/>
    <w:rsid w:val="00687214"/>
    <w:rsid w:val="006873A0"/>
    <w:rsid w:val="00687A0B"/>
    <w:rsid w:val="0069024E"/>
    <w:rsid w:val="00690FEF"/>
    <w:rsid w:val="0069172C"/>
    <w:rsid w:val="006917DB"/>
    <w:rsid w:val="00692FB4"/>
    <w:rsid w:val="00693273"/>
    <w:rsid w:val="00693B25"/>
    <w:rsid w:val="006940C4"/>
    <w:rsid w:val="00694458"/>
    <w:rsid w:val="00694CA6"/>
    <w:rsid w:val="00694CA7"/>
    <w:rsid w:val="006950A3"/>
    <w:rsid w:val="00695192"/>
    <w:rsid w:val="006967E2"/>
    <w:rsid w:val="00696BAF"/>
    <w:rsid w:val="00696FEF"/>
    <w:rsid w:val="006975D4"/>
    <w:rsid w:val="00697739"/>
    <w:rsid w:val="00697A97"/>
    <w:rsid w:val="00697AB4"/>
    <w:rsid w:val="00697BB0"/>
    <w:rsid w:val="006A0167"/>
    <w:rsid w:val="006A08FC"/>
    <w:rsid w:val="006A12F0"/>
    <w:rsid w:val="006A13B2"/>
    <w:rsid w:val="006A1604"/>
    <w:rsid w:val="006A1A49"/>
    <w:rsid w:val="006A201E"/>
    <w:rsid w:val="006A23FF"/>
    <w:rsid w:val="006A27DC"/>
    <w:rsid w:val="006A3E11"/>
    <w:rsid w:val="006A44F5"/>
    <w:rsid w:val="006A4D99"/>
    <w:rsid w:val="006A5863"/>
    <w:rsid w:val="006A5F95"/>
    <w:rsid w:val="006A6520"/>
    <w:rsid w:val="006A6E44"/>
    <w:rsid w:val="006A6EA0"/>
    <w:rsid w:val="006A701D"/>
    <w:rsid w:val="006B07F9"/>
    <w:rsid w:val="006B116D"/>
    <w:rsid w:val="006B1DC1"/>
    <w:rsid w:val="006B2068"/>
    <w:rsid w:val="006B2514"/>
    <w:rsid w:val="006B328B"/>
    <w:rsid w:val="006B470A"/>
    <w:rsid w:val="006B56A1"/>
    <w:rsid w:val="006B5CC2"/>
    <w:rsid w:val="006B5F56"/>
    <w:rsid w:val="006B64B4"/>
    <w:rsid w:val="006B6588"/>
    <w:rsid w:val="006B6C15"/>
    <w:rsid w:val="006B7805"/>
    <w:rsid w:val="006B7A71"/>
    <w:rsid w:val="006B7D48"/>
    <w:rsid w:val="006C0F5D"/>
    <w:rsid w:val="006C1062"/>
    <w:rsid w:val="006C1285"/>
    <w:rsid w:val="006C247A"/>
    <w:rsid w:val="006C2640"/>
    <w:rsid w:val="006C2824"/>
    <w:rsid w:val="006C2A94"/>
    <w:rsid w:val="006C2BAD"/>
    <w:rsid w:val="006C3168"/>
    <w:rsid w:val="006C32AE"/>
    <w:rsid w:val="006C33B7"/>
    <w:rsid w:val="006C34FF"/>
    <w:rsid w:val="006C3B11"/>
    <w:rsid w:val="006C3B2C"/>
    <w:rsid w:val="006C41BD"/>
    <w:rsid w:val="006C41C2"/>
    <w:rsid w:val="006C4D14"/>
    <w:rsid w:val="006C56D0"/>
    <w:rsid w:val="006C5954"/>
    <w:rsid w:val="006C5EA4"/>
    <w:rsid w:val="006C5F24"/>
    <w:rsid w:val="006C6037"/>
    <w:rsid w:val="006C63AB"/>
    <w:rsid w:val="006C661D"/>
    <w:rsid w:val="006C68CF"/>
    <w:rsid w:val="006C7063"/>
    <w:rsid w:val="006C70D1"/>
    <w:rsid w:val="006C71E7"/>
    <w:rsid w:val="006D0897"/>
    <w:rsid w:val="006D0A42"/>
    <w:rsid w:val="006D0CD8"/>
    <w:rsid w:val="006D1527"/>
    <w:rsid w:val="006D2C2D"/>
    <w:rsid w:val="006D2EA0"/>
    <w:rsid w:val="006D2EF1"/>
    <w:rsid w:val="006D3704"/>
    <w:rsid w:val="006D4487"/>
    <w:rsid w:val="006D537C"/>
    <w:rsid w:val="006D5CB6"/>
    <w:rsid w:val="006D5D23"/>
    <w:rsid w:val="006D5EB7"/>
    <w:rsid w:val="006D5F35"/>
    <w:rsid w:val="006D6E58"/>
    <w:rsid w:val="006D71FD"/>
    <w:rsid w:val="006D73A1"/>
    <w:rsid w:val="006D7A85"/>
    <w:rsid w:val="006D7FC0"/>
    <w:rsid w:val="006E109B"/>
    <w:rsid w:val="006E1154"/>
    <w:rsid w:val="006E28AD"/>
    <w:rsid w:val="006E2BDE"/>
    <w:rsid w:val="006E35BF"/>
    <w:rsid w:val="006E3AA9"/>
    <w:rsid w:val="006E3C41"/>
    <w:rsid w:val="006E41D0"/>
    <w:rsid w:val="006E45FB"/>
    <w:rsid w:val="006E51A2"/>
    <w:rsid w:val="006E5582"/>
    <w:rsid w:val="006E5628"/>
    <w:rsid w:val="006E5714"/>
    <w:rsid w:val="006E5C09"/>
    <w:rsid w:val="006E5C7D"/>
    <w:rsid w:val="006E5CB7"/>
    <w:rsid w:val="006E63E4"/>
    <w:rsid w:val="006E6815"/>
    <w:rsid w:val="006E6F50"/>
    <w:rsid w:val="006E7088"/>
    <w:rsid w:val="006E7B1D"/>
    <w:rsid w:val="006F0C09"/>
    <w:rsid w:val="006F1661"/>
    <w:rsid w:val="006F1C5B"/>
    <w:rsid w:val="006F1D8D"/>
    <w:rsid w:val="006F2520"/>
    <w:rsid w:val="006F2666"/>
    <w:rsid w:val="006F2AE9"/>
    <w:rsid w:val="006F2C4C"/>
    <w:rsid w:val="006F30C9"/>
    <w:rsid w:val="006F355B"/>
    <w:rsid w:val="006F4746"/>
    <w:rsid w:val="006F475E"/>
    <w:rsid w:val="006F4ACE"/>
    <w:rsid w:val="006F4B67"/>
    <w:rsid w:val="006F57E3"/>
    <w:rsid w:val="006F60DA"/>
    <w:rsid w:val="006F611F"/>
    <w:rsid w:val="006F6434"/>
    <w:rsid w:val="006F70D1"/>
    <w:rsid w:val="006F72C2"/>
    <w:rsid w:val="006F7FC0"/>
    <w:rsid w:val="00700037"/>
    <w:rsid w:val="0070039E"/>
    <w:rsid w:val="00700738"/>
    <w:rsid w:val="00700A4A"/>
    <w:rsid w:val="00700C30"/>
    <w:rsid w:val="00700D5D"/>
    <w:rsid w:val="00701221"/>
    <w:rsid w:val="00701CE5"/>
    <w:rsid w:val="007022FB"/>
    <w:rsid w:val="00703213"/>
    <w:rsid w:val="0070457E"/>
    <w:rsid w:val="00704D08"/>
    <w:rsid w:val="007058B4"/>
    <w:rsid w:val="007062F7"/>
    <w:rsid w:val="00706366"/>
    <w:rsid w:val="007069D4"/>
    <w:rsid w:val="00707876"/>
    <w:rsid w:val="007078DD"/>
    <w:rsid w:val="00707A3D"/>
    <w:rsid w:val="00707AEC"/>
    <w:rsid w:val="00710342"/>
    <w:rsid w:val="0071091A"/>
    <w:rsid w:val="00710B4A"/>
    <w:rsid w:val="00710BB3"/>
    <w:rsid w:val="00711067"/>
    <w:rsid w:val="00711377"/>
    <w:rsid w:val="0071237F"/>
    <w:rsid w:val="00712F30"/>
    <w:rsid w:val="00713909"/>
    <w:rsid w:val="00713D92"/>
    <w:rsid w:val="007146D5"/>
    <w:rsid w:val="00714F45"/>
    <w:rsid w:val="00716BAE"/>
    <w:rsid w:val="00716C76"/>
    <w:rsid w:val="00717228"/>
    <w:rsid w:val="00717399"/>
    <w:rsid w:val="0071743D"/>
    <w:rsid w:val="007175AD"/>
    <w:rsid w:val="0071761A"/>
    <w:rsid w:val="007178A2"/>
    <w:rsid w:val="00717E34"/>
    <w:rsid w:val="0072078B"/>
    <w:rsid w:val="0072154F"/>
    <w:rsid w:val="00721F4E"/>
    <w:rsid w:val="0072249F"/>
    <w:rsid w:val="00723286"/>
    <w:rsid w:val="0072337A"/>
    <w:rsid w:val="00723958"/>
    <w:rsid w:val="00723CC1"/>
    <w:rsid w:val="00723E51"/>
    <w:rsid w:val="0072445C"/>
    <w:rsid w:val="00724BC5"/>
    <w:rsid w:val="00725056"/>
    <w:rsid w:val="00725704"/>
    <w:rsid w:val="0072597B"/>
    <w:rsid w:val="0072599F"/>
    <w:rsid w:val="00725C18"/>
    <w:rsid w:val="00725C35"/>
    <w:rsid w:val="00725C57"/>
    <w:rsid w:val="0072614A"/>
    <w:rsid w:val="00727195"/>
    <w:rsid w:val="007273B3"/>
    <w:rsid w:val="00727658"/>
    <w:rsid w:val="00727E87"/>
    <w:rsid w:val="007308AD"/>
    <w:rsid w:val="00730E99"/>
    <w:rsid w:val="0073155B"/>
    <w:rsid w:val="007317FD"/>
    <w:rsid w:val="007318E9"/>
    <w:rsid w:val="00731A30"/>
    <w:rsid w:val="00731D16"/>
    <w:rsid w:val="00731E52"/>
    <w:rsid w:val="00732BF0"/>
    <w:rsid w:val="00733F23"/>
    <w:rsid w:val="00735576"/>
    <w:rsid w:val="00735C84"/>
    <w:rsid w:val="00735D86"/>
    <w:rsid w:val="00736545"/>
    <w:rsid w:val="00736A63"/>
    <w:rsid w:val="00736D1D"/>
    <w:rsid w:val="007373E5"/>
    <w:rsid w:val="00737984"/>
    <w:rsid w:val="00741B87"/>
    <w:rsid w:val="007420ED"/>
    <w:rsid w:val="00742204"/>
    <w:rsid w:val="00742729"/>
    <w:rsid w:val="007427F1"/>
    <w:rsid w:val="007428A3"/>
    <w:rsid w:val="00742AA3"/>
    <w:rsid w:val="00742D3F"/>
    <w:rsid w:val="007440A4"/>
    <w:rsid w:val="0074483B"/>
    <w:rsid w:val="0074718A"/>
    <w:rsid w:val="00747255"/>
    <w:rsid w:val="007473B1"/>
    <w:rsid w:val="0074758E"/>
    <w:rsid w:val="00747734"/>
    <w:rsid w:val="00747DAE"/>
    <w:rsid w:val="00747F93"/>
    <w:rsid w:val="00750A2F"/>
    <w:rsid w:val="007512C5"/>
    <w:rsid w:val="00752704"/>
    <w:rsid w:val="00752A1F"/>
    <w:rsid w:val="007532F4"/>
    <w:rsid w:val="00754B04"/>
    <w:rsid w:val="00754BF9"/>
    <w:rsid w:val="00754E4B"/>
    <w:rsid w:val="00756B6F"/>
    <w:rsid w:val="007573FD"/>
    <w:rsid w:val="00757C64"/>
    <w:rsid w:val="0076008A"/>
    <w:rsid w:val="00760B79"/>
    <w:rsid w:val="007611C7"/>
    <w:rsid w:val="007613DA"/>
    <w:rsid w:val="007616BB"/>
    <w:rsid w:val="00761AAF"/>
    <w:rsid w:val="00761C43"/>
    <w:rsid w:val="007621EF"/>
    <w:rsid w:val="00762873"/>
    <w:rsid w:val="00762C16"/>
    <w:rsid w:val="00762CBB"/>
    <w:rsid w:val="00762F0C"/>
    <w:rsid w:val="0076362B"/>
    <w:rsid w:val="007636E7"/>
    <w:rsid w:val="00764168"/>
    <w:rsid w:val="0076542B"/>
    <w:rsid w:val="00765B1D"/>
    <w:rsid w:val="00766F0C"/>
    <w:rsid w:val="0076717B"/>
    <w:rsid w:val="007677B8"/>
    <w:rsid w:val="00767850"/>
    <w:rsid w:val="00767A4B"/>
    <w:rsid w:val="0077000A"/>
    <w:rsid w:val="0077043C"/>
    <w:rsid w:val="007705A7"/>
    <w:rsid w:val="00770EBB"/>
    <w:rsid w:val="00771344"/>
    <w:rsid w:val="0077257D"/>
    <w:rsid w:val="00772C80"/>
    <w:rsid w:val="00773912"/>
    <w:rsid w:val="00773B08"/>
    <w:rsid w:val="00773CDA"/>
    <w:rsid w:val="00773CF9"/>
    <w:rsid w:val="00773D1C"/>
    <w:rsid w:val="007740CE"/>
    <w:rsid w:val="0077452B"/>
    <w:rsid w:val="00774552"/>
    <w:rsid w:val="0077499F"/>
    <w:rsid w:val="007749B3"/>
    <w:rsid w:val="00774AA9"/>
    <w:rsid w:val="00774BDC"/>
    <w:rsid w:val="00774C26"/>
    <w:rsid w:val="00775424"/>
    <w:rsid w:val="00775443"/>
    <w:rsid w:val="0077627E"/>
    <w:rsid w:val="00776ABC"/>
    <w:rsid w:val="00776D68"/>
    <w:rsid w:val="00776FB9"/>
    <w:rsid w:val="00777106"/>
    <w:rsid w:val="00777A98"/>
    <w:rsid w:val="00777AC4"/>
    <w:rsid w:val="00777BAC"/>
    <w:rsid w:val="00777CEE"/>
    <w:rsid w:val="00780164"/>
    <w:rsid w:val="00780665"/>
    <w:rsid w:val="00780792"/>
    <w:rsid w:val="00780EF8"/>
    <w:rsid w:val="00782718"/>
    <w:rsid w:val="00782A0E"/>
    <w:rsid w:val="00782C47"/>
    <w:rsid w:val="00782DBE"/>
    <w:rsid w:val="0078318C"/>
    <w:rsid w:val="007831F3"/>
    <w:rsid w:val="00783407"/>
    <w:rsid w:val="0078356D"/>
    <w:rsid w:val="007842A9"/>
    <w:rsid w:val="00784865"/>
    <w:rsid w:val="00784A39"/>
    <w:rsid w:val="0078533E"/>
    <w:rsid w:val="00785B2D"/>
    <w:rsid w:val="007862DA"/>
    <w:rsid w:val="00786B42"/>
    <w:rsid w:val="00786B4E"/>
    <w:rsid w:val="00786F8F"/>
    <w:rsid w:val="0079013C"/>
    <w:rsid w:val="00790D40"/>
    <w:rsid w:val="00790E1D"/>
    <w:rsid w:val="00791743"/>
    <w:rsid w:val="00791883"/>
    <w:rsid w:val="00792589"/>
    <w:rsid w:val="0079287F"/>
    <w:rsid w:val="00794338"/>
    <w:rsid w:val="007943C8"/>
    <w:rsid w:val="00794A73"/>
    <w:rsid w:val="00795404"/>
    <w:rsid w:val="00795862"/>
    <w:rsid w:val="00795FF0"/>
    <w:rsid w:val="0079603B"/>
    <w:rsid w:val="00796A4D"/>
    <w:rsid w:val="007970A9"/>
    <w:rsid w:val="007977E9"/>
    <w:rsid w:val="007978C1"/>
    <w:rsid w:val="007978C5"/>
    <w:rsid w:val="007978CC"/>
    <w:rsid w:val="007A06BC"/>
    <w:rsid w:val="007A0C05"/>
    <w:rsid w:val="007A0C28"/>
    <w:rsid w:val="007A11F3"/>
    <w:rsid w:val="007A208D"/>
    <w:rsid w:val="007A2187"/>
    <w:rsid w:val="007A2682"/>
    <w:rsid w:val="007A2D3D"/>
    <w:rsid w:val="007A30A0"/>
    <w:rsid w:val="007A348E"/>
    <w:rsid w:val="007A3DC1"/>
    <w:rsid w:val="007A453C"/>
    <w:rsid w:val="007A4859"/>
    <w:rsid w:val="007A499E"/>
    <w:rsid w:val="007A50C4"/>
    <w:rsid w:val="007A5225"/>
    <w:rsid w:val="007A545C"/>
    <w:rsid w:val="007A5666"/>
    <w:rsid w:val="007A5B2A"/>
    <w:rsid w:val="007A6260"/>
    <w:rsid w:val="007A7049"/>
    <w:rsid w:val="007A7113"/>
    <w:rsid w:val="007A7195"/>
    <w:rsid w:val="007A757F"/>
    <w:rsid w:val="007A75C0"/>
    <w:rsid w:val="007A76BB"/>
    <w:rsid w:val="007A78D3"/>
    <w:rsid w:val="007B0CC2"/>
    <w:rsid w:val="007B1067"/>
    <w:rsid w:val="007B10C8"/>
    <w:rsid w:val="007B187C"/>
    <w:rsid w:val="007B1E97"/>
    <w:rsid w:val="007B2370"/>
    <w:rsid w:val="007B2639"/>
    <w:rsid w:val="007B288F"/>
    <w:rsid w:val="007B28A2"/>
    <w:rsid w:val="007B3073"/>
    <w:rsid w:val="007B31D2"/>
    <w:rsid w:val="007B40A1"/>
    <w:rsid w:val="007B423D"/>
    <w:rsid w:val="007B4272"/>
    <w:rsid w:val="007B4D8D"/>
    <w:rsid w:val="007B4E16"/>
    <w:rsid w:val="007B59E0"/>
    <w:rsid w:val="007B5E44"/>
    <w:rsid w:val="007B6324"/>
    <w:rsid w:val="007B6896"/>
    <w:rsid w:val="007B6CB5"/>
    <w:rsid w:val="007B724D"/>
    <w:rsid w:val="007B7D03"/>
    <w:rsid w:val="007C04ED"/>
    <w:rsid w:val="007C0A11"/>
    <w:rsid w:val="007C2577"/>
    <w:rsid w:val="007C2EEE"/>
    <w:rsid w:val="007C2F46"/>
    <w:rsid w:val="007C37D9"/>
    <w:rsid w:val="007C516B"/>
    <w:rsid w:val="007C530E"/>
    <w:rsid w:val="007C5A27"/>
    <w:rsid w:val="007C619D"/>
    <w:rsid w:val="007C7430"/>
    <w:rsid w:val="007D1971"/>
    <w:rsid w:val="007D313F"/>
    <w:rsid w:val="007D41CD"/>
    <w:rsid w:val="007D4314"/>
    <w:rsid w:val="007D4759"/>
    <w:rsid w:val="007D4EAE"/>
    <w:rsid w:val="007D507D"/>
    <w:rsid w:val="007D5830"/>
    <w:rsid w:val="007D6567"/>
    <w:rsid w:val="007D6817"/>
    <w:rsid w:val="007D6AB7"/>
    <w:rsid w:val="007D7AD1"/>
    <w:rsid w:val="007D7C80"/>
    <w:rsid w:val="007E01C5"/>
    <w:rsid w:val="007E0E92"/>
    <w:rsid w:val="007E1373"/>
    <w:rsid w:val="007E17FF"/>
    <w:rsid w:val="007E2956"/>
    <w:rsid w:val="007E2B70"/>
    <w:rsid w:val="007E2D64"/>
    <w:rsid w:val="007E2E58"/>
    <w:rsid w:val="007E31B1"/>
    <w:rsid w:val="007E41E2"/>
    <w:rsid w:val="007E4519"/>
    <w:rsid w:val="007E4D13"/>
    <w:rsid w:val="007E4D86"/>
    <w:rsid w:val="007E577A"/>
    <w:rsid w:val="007E6671"/>
    <w:rsid w:val="007E7525"/>
    <w:rsid w:val="007F1C37"/>
    <w:rsid w:val="007F226F"/>
    <w:rsid w:val="007F27A1"/>
    <w:rsid w:val="007F29DA"/>
    <w:rsid w:val="007F2EA0"/>
    <w:rsid w:val="007F3125"/>
    <w:rsid w:val="007F31F0"/>
    <w:rsid w:val="007F32A2"/>
    <w:rsid w:val="007F4483"/>
    <w:rsid w:val="007F512D"/>
    <w:rsid w:val="007F5321"/>
    <w:rsid w:val="007F631C"/>
    <w:rsid w:val="007F643A"/>
    <w:rsid w:val="007F6D0B"/>
    <w:rsid w:val="007F6FB7"/>
    <w:rsid w:val="00800673"/>
    <w:rsid w:val="008009BD"/>
    <w:rsid w:val="00800DDD"/>
    <w:rsid w:val="00801086"/>
    <w:rsid w:val="008013AF"/>
    <w:rsid w:val="00801694"/>
    <w:rsid w:val="008029F4"/>
    <w:rsid w:val="00802CC7"/>
    <w:rsid w:val="00802F69"/>
    <w:rsid w:val="008037FC"/>
    <w:rsid w:val="008055DF"/>
    <w:rsid w:val="00806905"/>
    <w:rsid w:val="00806A70"/>
    <w:rsid w:val="00807063"/>
    <w:rsid w:val="008074E5"/>
    <w:rsid w:val="00807756"/>
    <w:rsid w:val="00807844"/>
    <w:rsid w:val="00807CF9"/>
    <w:rsid w:val="00807EEC"/>
    <w:rsid w:val="00810159"/>
    <w:rsid w:val="00810472"/>
    <w:rsid w:val="00810CC1"/>
    <w:rsid w:val="00810E13"/>
    <w:rsid w:val="00810E41"/>
    <w:rsid w:val="00811404"/>
    <w:rsid w:val="008119B2"/>
    <w:rsid w:val="00812618"/>
    <w:rsid w:val="00812AA8"/>
    <w:rsid w:val="00813732"/>
    <w:rsid w:val="00813CBE"/>
    <w:rsid w:val="0081524F"/>
    <w:rsid w:val="008155F4"/>
    <w:rsid w:val="00815684"/>
    <w:rsid w:val="0081638F"/>
    <w:rsid w:val="008163A0"/>
    <w:rsid w:val="0081649E"/>
    <w:rsid w:val="008166C7"/>
    <w:rsid w:val="0082056B"/>
    <w:rsid w:val="0082080E"/>
    <w:rsid w:val="00820B98"/>
    <w:rsid w:val="0082123D"/>
    <w:rsid w:val="008217C4"/>
    <w:rsid w:val="00821B95"/>
    <w:rsid w:val="00821EAE"/>
    <w:rsid w:val="008221F4"/>
    <w:rsid w:val="008224A6"/>
    <w:rsid w:val="008228DA"/>
    <w:rsid w:val="00822F49"/>
    <w:rsid w:val="008234C4"/>
    <w:rsid w:val="008235BA"/>
    <w:rsid w:val="00823E2E"/>
    <w:rsid w:val="00824487"/>
    <w:rsid w:val="00824642"/>
    <w:rsid w:val="00825EC0"/>
    <w:rsid w:val="00826212"/>
    <w:rsid w:val="00826648"/>
    <w:rsid w:val="0082671C"/>
    <w:rsid w:val="008270AA"/>
    <w:rsid w:val="00830739"/>
    <w:rsid w:val="00830BF5"/>
    <w:rsid w:val="00830EE7"/>
    <w:rsid w:val="008321B0"/>
    <w:rsid w:val="00833C75"/>
    <w:rsid w:val="00833D94"/>
    <w:rsid w:val="008340CB"/>
    <w:rsid w:val="0083454D"/>
    <w:rsid w:val="00834741"/>
    <w:rsid w:val="00834EB3"/>
    <w:rsid w:val="00835110"/>
    <w:rsid w:val="008355EF"/>
    <w:rsid w:val="00835AFA"/>
    <w:rsid w:val="00836525"/>
    <w:rsid w:val="00836EC3"/>
    <w:rsid w:val="00836F23"/>
    <w:rsid w:val="008378D3"/>
    <w:rsid w:val="008379F3"/>
    <w:rsid w:val="00837E36"/>
    <w:rsid w:val="008400B9"/>
    <w:rsid w:val="00841ACE"/>
    <w:rsid w:val="00841D63"/>
    <w:rsid w:val="008422D4"/>
    <w:rsid w:val="00842F9E"/>
    <w:rsid w:val="00843195"/>
    <w:rsid w:val="00843982"/>
    <w:rsid w:val="00843A6D"/>
    <w:rsid w:val="00843AEA"/>
    <w:rsid w:val="008441DC"/>
    <w:rsid w:val="00844223"/>
    <w:rsid w:val="008445E3"/>
    <w:rsid w:val="00844AAF"/>
    <w:rsid w:val="00844B38"/>
    <w:rsid w:val="008451B9"/>
    <w:rsid w:val="0084578B"/>
    <w:rsid w:val="008459A3"/>
    <w:rsid w:val="008465EB"/>
    <w:rsid w:val="00846701"/>
    <w:rsid w:val="008467A4"/>
    <w:rsid w:val="00846B52"/>
    <w:rsid w:val="00846FAD"/>
    <w:rsid w:val="00850892"/>
    <w:rsid w:val="00850A64"/>
    <w:rsid w:val="008522BD"/>
    <w:rsid w:val="008538F7"/>
    <w:rsid w:val="00853B51"/>
    <w:rsid w:val="00854031"/>
    <w:rsid w:val="00855300"/>
    <w:rsid w:val="00856BE9"/>
    <w:rsid w:val="00856E21"/>
    <w:rsid w:val="00857065"/>
    <w:rsid w:val="00857DBB"/>
    <w:rsid w:val="00857F22"/>
    <w:rsid w:val="008600EF"/>
    <w:rsid w:val="00860846"/>
    <w:rsid w:val="00860AD3"/>
    <w:rsid w:val="00860BC4"/>
    <w:rsid w:val="00860CC1"/>
    <w:rsid w:val="00860F52"/>
    <w:rsid w:val="00861042"/>
    <w:rsid w:val="0086120E"/>
    <w:rsid w:val="00861E77"/>
    <w:rsid w:val="00861EB0"/>
    <w:rsid w:val="008620A8"/>
    <w:rsid w:val="0086214B"/>
    <w:rsid w:val="008624E2"/>
    <w:rsid w:val="008628E4"/>
    <w:rsid w:val="008629F8"/>
    <w:rsid w:val="008630A0"/>
    <w:rsid w:val="00864A88"/>
    <w:rsid w:val="00864EAF"/>
    <w:rsid w:val="0086547B"/>
    <w:rsid w:val="00865585"/>
    <w:rsid w:val="00865BAA"/>
    <w:rsid w:val="00865F78"/>
    <w:rsid w:val="0086627C"/>
    <w:rsid w:val="0086634B"/>
    <w:rsid w:val="00866D24"/>
    <w:rsid w:val="00866FE2"/>
    <w:rsid w:val="00867366"/>
    <w:rsid w:val="00867683"/>
    <w:rsid w:val="00871144"/>
    <w:rsid w:val="0087141C"/>
    <w:rsid w:val="008717EC"/>
    <w:rsid w:val="00871A0A"/>
    <w:rsid w:val="00872101"/>
    <w:rsid w:val="0087255D"/>
    <w:rsid w:val="0087344D"/>
    <w:rsid w:val="00874636"/>
    <w:rsid w:val="00875877"/>
    <w:rsid w:val="00875FC4"/>
    <w:rsid w:val="008762EC"/>
    <w:rsid w:val="008769D5"/>
    <w:rsid w:val="00876CE7"/>
    <w:rsid w:val="00876F1F"/>
    <w:rsid w:val="008771A1"/>
    <w:rsid w:val="008772D4"/>
    <w:rsid w:val="008773D1"/>
    <w:rsid w:val="008802AA"/>
    <w:rsid w:val="0088032D"/>
    <w:rsid w:val="0088127F"/>
    <w:rsid w:val="00881512"/>
    <w:rsid w:val="00881B97"/>
    <w:rsid w:val="00881DA3"/>
    <w:rsid w:val="008828DF"/>
    <w:rsid w:val="0088327A"/>
    <w:rsid w:val="0088349F"/>
    <w:rsid w:val="00883B7D"/>
    <w:rsid w:val="00883E7B"/>
    <w:rsid w:val="0088402D"/>
    <w:rsid w:val="0088409A"/>
    <w:rsid w:val="00884271"/>
    <w:rsid w:val="0088587F"/>
    <w:rsid w:val="0088596C"/>
    <w:rsid w:val="00885D2A"/>
    <w:rsid w:val="00885DAF"/>
    <w:rsid w:val="00886141"/>
    <w:rsid w:val="008863DA"/>
    <w:rsid w:val="00886E1F"/>
    <w:rsid w:val="00886E8C"/>
    <w:rsid w:val="00887064"/>
    <w:rsid w:val="008874BB"/>
    <w:rsid w:val="0088761B"/>
    <w:rsid w:val="00887720"/>
    <w:rsid w:val="00887B0C"/>
    <w:rsid w:val="00887DAE"/>
    <w:rsid w:val="00890999"/>
    <w:rsid w:val="008910B5"/>
    <w:rsid w:val="00891190"/>
    <w:rsid w:val="00891DF8"/>
    <w:rsid w:val="00892198"/>
    <w:rsid w:val="00892B5D"/>
    <w:rsid w:val="00892D40"/>
    <w:rsid w:val="00892DCF"/>
    <w:rsid w:val="00893030"/>
    <w:rsid w:val="008931E9"/>
    <w:rsid w:val="008934AD"/>
    <w:rsid w:val="00893A26"/>
    <w:rsid w:val="00893B9C"/>
    <w:rsid w:val="008940C9"/>
    <w:rsid w:val="00894307"/>
    <w:rsid w:val="008944A6"/>
    <w:rsid w:val="00894D2C"/>
    <w:rsid w:val="00894FC1"/>
    <w:rsid w:val="00895315"/>
    <w:rsid w:val="0089569E"/>
    <w:rsid w:val="00895810"/>
    <w:rsid w:val="00895A5D"/>
    <w:rsid w:val="00895B5E"/>
    <w:rsid w:val="008964D5"/>
    <w:rsid w:val="00896509"/>
    <w:rsid w:val="00896B60"/>
    <w:rsid w:val="00896F71"/>
    <w:rsid w:val="00897270"/>
    <w:rsid w:val="008A0833"/>
    <w:rsid w:val="008A090F"/>
    <w:rsid w:val="008A102D"/>
    <w:rsid w:val="008A20A5"/>
    <w:rsid w:val="008A263A"/>
    <w:rsid w:val="008A2908"/>
    <w:rsid w:val="008A2998"/>
    <w:rsid w:val="008A2BFD"/>
    <w:rsid w:val="008A305E"/>
    <w:rsid w:val="008A4004"/>
    <w:rsid w:val="008A4007"/>
    <w:rsid w:val="008A467B"/>
    <w:rsid w:val="008A540C"/>
    <w:rsid w:val="008A5497"/>
    <w:rsid w:val="008A55CA"/>
    <w:rsid w:val="008A58B1"/>
    <w:rsid w:val="008A608A"/>
    <w:rsid w:val="008A6CD9"/>
    <w:rsid w:val="008A7024"/>
    <w:rsid w:val="008A7414"/>
    <w:rsid w:val="008A7814"/>
    <w:rsid w:val="008A7DB6"/>
    <w:rsid w:val="008A7F89"/>
    <w:rsid w:val="008B003D"/>
    <w:rsid w:val="008B025F"/>
    <w:rsid w:val="008B0BAB"/>
    <w:rsid w:val="008B15F1"/>
    <w:rsid w:val="008B176A"/>
    <w:rsid w:val="008B18CF"/>
    <w:rsid w:val="008B2819"/>
    <w:rsid w:val="008B2E44"/>
    <w:rsid w:val="008B31F3"/>
    <w:rsid w:val="008B351D"/>
    <w:rsid w:val="008B370A"/>
    <w:rsid w:val="008B3895"/>
    <w:rsid w:val="008B3AF1"/>
    <w:rsid w:val="008B440B"/>
    <w:rsid w:val="008B4614"/>
    <w:rsid w:val="008B46CB"/>
    <w:rsid w:val="008B6323"/>
    <w:rsid w:val="008B713C"/>
    <w:rsid w:val="008B713E"/>
    <w:rsid w:val="008B71B8"/>
    <w:rsid w:val="008B7B59"/>
    <w:rsid w:val="008B7CD5"/>
    <w:rsid w:val="008C0D9C"/>
    <w:rsid w:val="008C114A"/>
    <w:rsid w:val="008C1D27"/>
    <w:rsid w:val="008C28AC"/>
    <w:rsid w:val="008C373A"/>
    <w:rsid w:val="008C3C96"/>
    <w:rsid w:val="008C3FCE"/>
    <w:rsid w:val="008C478C"/>
    <w:rsid w:val="008C5359"/>
    <w:rsid w:val="008C6758"/>
    <w:rsid w:val="008C67E7"/>
    <w:rsid w:val="008C6925"/>
    <w:rsid w:val="008C69AD"/>
    <w:rsid w:val="008C6AB7"/>
    <w:rsid w:val="008C6CC1"/>
    <w:rsid w:val="008C6E49"/>
    <w:rsid w:val="008C6E93"/>
    <w:rsid w:val="008C7063"/>
    <w:rsid w:val="008C7100"/>
    <w:rsid w:val="008C73EB"/>
    <w:rsid w:val="008C7542"/>
    <w:rsid w:val="008C7790"/>
    <w:rsid w:val="008D05A1"/>
    <w:rsid w:val="008D0BA3"/>
    <w:rsid w:val="008D114E"/>
    <w:rsid w:val="008D174A"/>
    <w:rsid w:val="008D1BF2"/>
    <w:rsid w:val="008D1CE9"/>
    <w:rsid w:val="008D2231"/>
    <w:rsid w:val="008D362D"/>
    <w:rsid w:val="008D39C0"/>
    <w:rsid w:val="008D3B41"/>
    <w:rsid w:val="008D41DA"/>
    <w:rsid w:val="008D45C0"/>
    <w:rsid w:val="008D4644"/>
    <w:rsid w:val="008D4CF7"/>
    <w:rsid w:val="008D534C"/>
    <w:rsid w:val="008D5977"/>
    <w:rsid w:val="008D59C4"/>
    <w:rsid w:val="008D66DB"/>
    <w:rsid w:val="008D6805"/>
    <w:rsid w:val="008D681B"/>
    <w:rsid w:val="008D6B7A"/>
    <w:rsid w:val="008D6BF3"/>
    <w:rsid w:val="008D76D4"/>
    <w:rsid w:val="008E046E"/>
    <w:rsid w:val="008E07B3"/>
    <w:rsid w:val="008E0A6F"/>
    <w:rsid w:val="008E0D84"/>
    <w:rsid w:val="008E108E"/>
    <w:rsid w:val="008E2DD2"/>
    <w:rsid w:val="008E2DF2"/>
    <w:rsid w:val="008E364D"/>
    <w:rsid w:val="008E3FE5"/>
    <w:rsid w:val="008E49F2"/>
    <w:rsid w:val="008E4A03"/>
    <w:rsid w:val="008E4A36"/>
    <w:rsid w:val="008E5059"/>
    <w:rsid w:val="008E580A"/>
    <w:rsid w:val="008E5BCE"/>
    <w:rsid w:val="008E61A0"/>
    <w:rsid w:val="008E6342"/>
    <w:rsid w:val="008E69CC"/>
    <w:rsid w:val="008E6D93"/>
    <w:rsid w:val="008E70BC"/>
    <w:rsid w:val="008E73D8"/>
    <w:rsid w:val="008E7423"/>
    <w:rsid w:val="008E794A"/>
    <w:rsid w:val="008F0F7F"/>
    <w:rsid w:val="008F1EE8"/>
    <w:rsid w:val="008F3F2E"/>
    <w:rsid w:val="008F5AA8"/>
    <w:rsid w:val="008F6518"/>
    <w:rsid w:val="008F6A9A"/>
    <w:rsid w:val="008F6E6F"/>
    <w:rsid w:val="008F6F76"/>
    <w:rsid w:val="008F7C1A"/>
    <w:rsid w:val="00900760"/>
    <w:rsid w:val="0090109A"/>
    <w:rsid w:val="009025C4"/>
    <w:rsid w:val="00902E05"/>
    <w:rsid w:val="0090318C"/>
    <w:rsid w:val="00904023"/>
    <w:rsid w:val="00904035"/>
    <w:rsid w:val="00904DFF"/>
    <w:rsid w:val="00904FEA"/>
    <w:rsid w:val="0090508F"/>
    <w:rsid w:val="0090590B"/>
    <w:rsid w:val="00905DB2"/>
    <w:rsid w:val="009065C5"/>
    <w:rsid w:val="00906605"/>
    <w:rsid w:val="00907209"/>
    <w:rsid w:val="00907AD3"/>
    <w:rsid w:val="00907C9B"/>
    <w:rsid w:val="00907D67"/>
    <w:rsid w:val="00907DCC"/>
    <w:rsid w:val="00910507"/>
    <w:rsid w:val="0091095F"/>
    <w:rsid w:val="00910A1D"/>
    <w:rsid w:val="00911156"/>
    <w:rsid w:val="00911571"/>
    <w:rsid w:val="00911F11"/>
    <w:rsid w:val="0091297E"/>
    <w:rsid w:val="0091378A"/>
    <w:rsid w:val="00913A8C"/>
    <w:rsid w:val="00913A9A"/>
    <w:rsid w:val="00913AAB"/>
    <w:rsid w:val="009146C0"/>
    <w:rsid w:val="00914CDA"/>
    <w:rsid w:val="00914D40"/>
    <w:rsid w:val="009151C0"/>
    <w:rsid w:val="00915FE7"/>
    <w:rsid w:val="00916109"/>
    <w:rsid w:val="009162E3"/>
    <w:rsid w:val="00916924"/>
    <w:rsid w:val="00916A56"/>
    <w:rsid w:val="00916A88"/>
    <w:rsid w:val="009174DA"/>
    <w:rsid w:val="00917663"/>
    <w:rsid w:val="0091780B"/>
    <w:rsid w:val="0092047E"/>
    <w:rsid w:val="009205E3"/>
    <w:rsid w:val="00920ADB"/>
    <w:rsid w:val="009211C8"/>
    <w:rsid w:val="009213E6"/>
    <w:rsid w:val="0092142F"/>
    <w:rsid w:val="00922673"/>
    <w:rsid w:val="00922EF3"/>
    <w:rsid w:val="00923999"/>
    <w:rsid w:val="0092478F"/>
    <w:rsid w:val="009252B5"/>
    <w:rsid w:val="00925497"/>
    <w:rsid w:val="009254D2"/>
    <w:rsid w:val="009254FB"/>
    <w:rsid w:val="00925E85"/>
    <w:rsid w:val="00925EFD"/>
    <w:rsid w:val="009263C9"/>
    <w:rsid w:val="009308DE"/>
    <w:rsid w:val="009311D1"/>
    <w:rsid w:val="00931312"/>
    <w:rsid w:val="00931482"/>
    <w:rsid w:val="0093164B"/>
    <w:rsid w:val="00931A3A"/>
    <w:rsid w:val="00931CF5"/>
    <w:rsid w:val="00932308"/>
    <w:rsid w:val="00932A1E"/>
    <w:rsid w:val="00932BF8"/>
    <w:rsid w:val="00932C12"/>
    <w:rsid w:val="00933863"/>
    <w:rsid w:val="00933A0E"/>
    <w:rsid w:val="00933C65"/>
    <w:rsid w:val="0093413C"/>
    <w:rsid w:val="00934179"/>
    <w:rsid w:val="009342E0"/>
    <w:rsid w:val="0093458B"/>
    <w:rsid w:val="0093483B"/>
    <w:rsid w:val="00934E03"/>
    <w:rsid w:val="00935443"/>
    <w:rsid w:val="00935761"/>
    <w:rsid w:val="0093624F"/>
    <w:rsid w:val="00937B9D"/>
    <w:rsid w:val="00937F38"/>
    <w:rsid w:val="0094045C"/>
    <w:rsid w:val="00940C62"/>
    <w:rsid w:val="00940DDA"/>
    <w:rsid w:val="009418CC"/>
    <w:rsid w:val="00941FC0"/>
    <w:rsid w:val="00942954"/>
    <w:rsid w:val="009432C3"/>
    <w:rsid w:val="00943310"/>
    <w:rsid w:val="00943922"/>
    <w:rsid w:val="00943A5C"/>
    <w:rsid w:val="00943AEA"/>
    <w:rsid w:val="00943E0A"/>
    <w:rsid w:val="00943F9E"/>
    <w:rsid w:val="00944BA6"/>
    <w:rsid w:val="00944EA4"/>
    <w:rsid w:val="00944FA0"/>
    <w:rsid w:val="00945DA4"/>
    <w:rsid w:val="009469EC"/>
    <w:rsid w:val="00946B83"/>
    <w:rsid w:val="009474D5"/>
    <w:rsid w:val="00950252"/>
    <w:rsid w:val="00950BD0"/>
    <w:rsid w:val="00951789"/>
    <w:rsid w:val="00952506"/>
    <w:rsid w:val="009527E5"/>
    <w:rsid w:val="00952864"/>
    <w:rsid w:val="009535B5"/>
    <w:rsid w:val="00953A48"/>
    <w:rsid w:val="0095489A"/>
    <w:rsid w:val="00954AD1"/>
    <w:rsid w:val="00955387"/>
    <w:rsid w:val="009556BE"/>
    <w:rsid w:val="00955BF8"/>
    <w:rsid w:val="00955C3D"/>
    <w:rsid w:val="009566A1"/>
    <w:rsid w:val="009567A7"/>
    <w:rsid w:val="00956C9C"/>
    <w:rsid w:val="00956D78"/>
    <w:rsid w:val="00957090"/>
    <w:rsid w:val="00960142"/>
    <w:rsid w:val="0096060E"/>
    <w:rsid w:val="00961CCC"/>
    <w:rsid w:val="00961F87"/>
    <w:rsid w:val="00962668"/>
    <w:rsid w:val="00962CEF"/>
    <w:rsid w:val="0096424A"/>
    <w:rsid w:val="009669F9"/>
    <w:rsid w:val="009670BD"/>
    <w:rsid w:val="009672CB"/>
    <w:rsid w:val="00967609"/>
    <w:rsid w:val="00970548"/>
    <w:rsid w:val="009707D7"/>
    <w:rsid w:val="00970BA9"/>
    <w:rsid w:val="00970D21"/>
    <w:rsid w:val="0097186B"/>
    <w:rsid w:val="0097226C"/>
    <w:rsid w:val="009724D6"/>
    <w:rsid w:val="0097289F"/>
    <w:rsid w:val="0097411C"/>
    <w:rsid w:val="009742FB"/>
    <w:rsid w:val="00974C7A"/>
    <w:rsid w:val="00975209"/>
    <w:rsid w:val="0097561A"/>
    <w:rsid w:val="00975968"/>
    <w:rsid w:val="00975A72"/>
    <w:rsid w:val="00975C0F"/>
    <w:rsid w:val="00975C5A"/>
    <w:rsid w:val="00976D9B"/>
    <w:rsid w:val="00977480"/>
    <w:rsid w:val="00977E11"/>
    <w:rsid w:val="00980566"/>
    <w:rsid w:val="00980DDF"/>
    <w:rsid w:val="009813CB"/>
    <w:rsid w:val="009817A8"/>
    <w:rsid w:val="00981F64"/>
    <w:rsid w:val="00982644"/>
    <w:rsid w:val="00982A2E"/>
    <w:rsid w:val="00983605"/>
    <w:rsid w:val="009837AB"/>
    <w:rsid w:val="00983FC4"/>
    <w:rsid w:val="00984C77"/>
    <w:rsid w:val="0098568F"/>
    <w:rsid w:val="00985B6B"/>
    <w:rsid w:val="00985D2D"/>
    <w:rsid w:val="00985DED"/>
    <w:rsid w:val="00985F73"/>
    <w:rsid w:val="00986DB9"/>
    <w:rsid w:val="0098748E"/>
    <w:rsid w:val="00987886"/>
    <w:rsid w:val="009878F8"/>
    <w:rsid w:val="00990E09"/>
    <w:rsid w:val="00991369"/>
    <w:rsid w:val="009915B0"/>
    <w:rsid w:val="009918A0"/>
    <w:rsid w:val="00992664"/>
    <w:rsid w:val="0099266B"/>
    <w:rsid w:val="0099365D"/>
    <w:rsid w:val="009941AB"/>
    <w:rsid w:val="009941AC"/>
    <w:rsid w:val="00994253"/>
    <w:rsid w:val="009948DC"/>
    <w:rsid w:val="00994D7F"/>
    <w:rsid w:val="0099574F"/>
    <w:rsid w:val="00995D72"/>
    <w:rsid w:val="0099647F"/>
    <w:rsid w:val="009964A1"/>
    <w:rsid w:val="00996A6C"/>
    <w:rsid w:val="009977FE"/>
    <w:rsid w:val="00997AB0"/>
    <w:rsid w:val="009A023D"/>
    <w:rsid w:val="009A098B"/>
    <w:rsid w:val="009A1600"/>
    <w:rsid w:val="009A1B8E"/>
    <w:rsid w:val="009A2673"/>
    <w:rsid w:val="009A2C63"/>
    <w:rsid w:val="009A3FBA"/>
    <w:rsid w:val="009A4971"/>
    <w:rsid w:val="009A4B00"/>
    <w:rsid w:val="009A4EBB"/>
    <w:rsid w:val="009A509F"/>
    <w:rsid w:val="009A5BBD"/>
    <w:rsid w:val="009A7DE8"/>
    <w:rsid w:val="009B06E2"/>
    <w:rsid w:val="009B0E3E"/>
    <w:rsid w:val="009B1003"/>
    <w:rsid w:val="009B1539"/>
    <w:rsid w:val="009B267C"/>
    <w:rsid w:val="009B2986"/>
    <w:rsid w:val="009B2EA9"/>
    <w:rsid w:val="009B36E1"/>
    <w:rsid w:val="009B3FE7"/>
    <w:rsid w:val="009B4414"/>
    <w:rsid w:val="009B4FAD"/>
    <w:rsid w:val="009B52FC"/>
    <w:rsid w:val="009B56CD"/>
    <w:rsid w:val="009B56D1"/>
    <w:rsid w:val="009B59DD"/>
    <w:rsid w:val="009B5BC3"/>
    <w:rsid w:val="009B604F"/>
    <w:rsid w:val="009B6899"/>
    <w:rsid w:val="009C0C30"/>
    <w:rsid w:val="009C0CE7"/>
    <w:rsid w:val="009C0D6E"/>
    <w:rsid w:val="009C16A9"/>
    <w:rsid w:val="009C225D"/>
    <w:rsid w:val="009C24FB"/>
    <w:rsid w:val="009C29BC"/>
    <w:rsid w:val="009C2F80"/>
    <w:rsid w:val="009C337A"/>
    <w:rsid w:val="009C3E98"/>
    <w:rsid w:val="009C4267"/>
    <w:rsid w:val="009C50E0"/>
    <w:rsid w:val="009C6456"/>
    <w:rsid w:val="009C685D"/>
    <w:rsid w:val="009C6946"/>
    <w:rsid w:val="009C7233"/>
    <w:rsid w:val="009C77FD"/>
    <w:rsid w:val="009C7E69"/>
    <w:rsid w:val="009D03AA"/>
    <w:rsid w:val="009D0704"/>
    <w:rsid w:val="009D0A0F"/>
    <w:rsid w:val="009D0DCC"/>
    <w:rsid w:val="009D0EB0"/>
    <w:rsid w:val="009D10A9"/>
    <w:rsid w:val="009D20DE"/>
    <w:rsid w:val="009D2158"/>
    <w:rsid w:val="009D26F0"/>
    <w:rsid w:val="009D2B51"/>
    <w:rsid w:val="009D2DDF"/>
    <w:rsid w:val="009D3DAF"/>
    <w:rsid w:val="009D3F4F"/>
    <w:rsid w:val="009D3F64"/>
    <w:rsid w:val="009D452B"/>
    <w:rsid w:val="009D4C3B"/>
    <w:rsid w:val="009D55DF"/>
    <w:rsid w:val="009D613C"/>
    <w:rsid w:val="009D6641"/>
    <w:rsid w:val="009D67B3"/>
    <w:rsid w:val="009D6D2B"/>
    <w:rsid w:val="009D75D9"/>
    <w:rsid w:val="009D76DD"/>
    <w:rsid w:val="009D7A12"/>
    <w:rsid w:val="009D7C71"/>
    <w:rsid w:val="009E0037"/>
    <w:rsid w:val="009E00C8"/>
    <w:rsid w:val="009E023F"/>
    <w:rsid w:val="009E02E6"/>
    <w:rsid w:val="009E03C5"/>
    <w:rsid w:val="009E0591"/>
    <w:rsid w:val="009E0EE5"/>
    <w:rsid w:val="009E1783"/>
    <w:rsid w:val="009E1BC7"/>
    <w:rsid w:val="009E1C39"/>
    <w:rsid w:val="009E1D76"/>
    <w:rsid w:val="009E22FA"/>
    <w:rsid w:val="009E2695"/>
    <w:rsid w:val="009E26BF"/>
    <w:rsid w:val="009E3046"/>
    <w:rsid w:val="009E32E4"/>
    <w:rsid w:val="009E44FC"/>
    <w:rsid w:val="009E45AB"/>
    <w:rsid w:val="009E4A88"/>
    <w:rsid w:val="009E4F3E"/>
    <w:rsid w:val="009E4F5F"/>
    <w:rsid w:val="009E50D5"/>
    <w:rsid w:val="009E5AD6"/>
    <w:rsid w:val="009E6373"/>
    <w:rsid w:val="009E6AC1"/>
    <w:rsid w:val="009E7301"/>
    <w:rsid w:val="009E76E6"/>
    <w:rsid w:val="009E7E08"/>
    <w:rsid w:val="009F0239"/>
    <w:rsid w:val="009F049F"/>
    <w:rsid w:val="009F06B5"/>
    <w:rsid w:val="009F0A44"/>
    <w:rsid w:val="009F0C39"/>
    <w:rsid w:val="009F1412"/>
    <w:rsid w:val="009F234A"/>
    <w:rsid w:val="009F2621"/>
    <w:rsid w:val="009F2D15"/>
    <w:rsid w:val="009F2D4A"/>
    <w:rsid w:val="009F3508"/>
    <w:rsid w:val="009F37E1"/>
    <w:rsid w:val="009F3898"/>
    <w:rsid w:val="009F3AD7"/>
    <w:rsid w:val="009F414D"/>
    <w:rsid w:val="009F4308"/>
    <w:rsid w:val="009F4320"/>
    <w:rsid w:val="009F4890"/>
    <w:rsid w:val="009F4895"/>
    <w:rsid w:val="009F4A94"/>
    <w:rsid w:val="009F51D9"/>
    <w:rsid w:val="009F61EF"/>
    <w:rsid w:val="009F68E4"/>
    <w:rsid w:val="009F6D96"/>
    <w:rsid w:val="009F6F4F"/>
    <w:rsid w:val="009F7053"/>
    <w:rsid w:val="009F753F"/>
    <w:rsid w:val="009F7857"/>
    <w:rsid w:val="009F7BA1"/>
    <w:rsid w:val="00A006BD"/>
    <w:rsid w:val="00A00A63"/>
    <w:rsid w:val="00A01373"/>
    <w:rsid w:val="00A01D2B"/>
    <w:rsid w:val="00A0202A"/>
    <w:rsid w:val="00A032B6"/>
    <w:rsid w:val="00A038DC"/>
    <w:rsid w:val="00A03C29"/>
    <w:rsid w:val="00A04B21"/>
    <w:rsid w:val="00A04BC8"/>
    <w:rsid w:val="00A05001"/>
    <w:rsid w:val="00A05445"/>
    <w:rsid w:val="00A05651"/>
    <w:rsid w:val="00A0613B"/>
    <w:rsid w:val="00A07038"/>
    <w:rsid w:val="00A07771"/>
    <w:rsid w:val="00A07AFA"/>
    <w:rsid w:val="00A07FE6"/>
    <w:rsid w:val="00A100B3"/>
    <w:rsid w:val="00A10F13"/>
    <w:rsid w:val="00A114B5"/>
    <w:rsid w:val="00A114ED"/>
    <w:rsid w:val="00A11758"/>
    <w:rsid w:val="00A11F9A"/>
    <w:rsid w:val="00A128BF"/>
    <w:rsid w:val="00A12DFA"/>
    <w:rsid w:val="00A132B9"/>
    <w:rsid w:val="00A14B65"/>
    <w:rsid w:val="00A14D96"/>
    <w:rsid w:val="00A14FAC"/>
    <w:rsid w:val="00A15032"/>
    <w:rsid w:val="00A157FD"/>
    <w:rsid w:val="00A15811"/>
    <w:rsid w:val="00A15EF7"/>
    <w:rsid w:val="00A161F5"/>
    <w:rsid w:val="00A169A4"/>
    <w:rsid w:val="00A16AB1"/>
    <w:rsid w:val="00A16E22"/>
    <w:rsid w:val="00A16F7A"/>
    <w:rsid w:val="00A17E00"/>
    <w:rsid w:val="00A203AF"/>
    <w:rsid w:val="00A2074D"/>
    <w:rsid w:val="00A20910"/>
    <w:rsid w:val="00A20AC3"/>
    <w:rsid w:val="00A20B33"/>
    <w:rsid w:val="00A21B23"/>
    <w:rsid w:val="00A21FAD"/>
    <w:rsid w:val="00A220B9"/>
    <w:rsid w:val="00A2260B"/>
    <w:rsid w:val="00A236B9"/>
    <w:rsid w:val="00A23744"/>
    <w:rsid w:val="00A237E3"/>
    <w:rsid w:val="00A23F14"/>
    <w:rsid w:val="00A2496F"/>
    <w:rsid w:val="00A24E66"/>
    <w:rsid w:val="00A24EAF"/>
    <w:rsid w:val="00A25753"/>
    <w:rsid w:val="00A25E17"/>
    <w:rsid w:val="00A25E22"/>
    <w:rsid w:val="00A25E9F"/>
    <w:rsid w:val="00A25FDB"/>
    <w:rsid w:val="00A2618D"/>
    <w:rsid w:val="00A2643E"/>
    <w:rsid w:val="00A26AE5"/>
    <w:rsid w:val="00A26DD1"/>
    <w:rsid w:val="00A2711A"/>
    <w:rsid w:val="00A309EB"/>
    <w:rsid w:val="00A30D26"/>
    <w:rsid w:val="00A31AEF"/>
    <w:rsid w:val="00A31E72"/>
    <w:rsid w:val="00A32128"/>
    <w:rsid w:val="00A32590"/>
    <w:rsid w:val="00A328C4"/>
    <w:rsid w:val="00A328D8"/>
    <w:rsid w:val="00A32ACB"/>
    <w:rsid w:val="00A33220"/>
    <w:rsid w:val="00A34405"/>
    <w:rsid w:val="00A34CE3"/>
    <w:rsid w:val="00A36137"/>
    <w:rsid w:val="00A36AC2"/>
    <w:rsid w:val="00A36B92"/>
    <w:rsid w:val="00A37F3D"/>
    <w:rsid w:val="00A4182A"/>
    <w:rsid w:val="00A41BA8"/>
    <w:rsid w:val="00A430E2"/>
    <w:rsid w:val="00A43F5C"/>
    <w:rsid w:val="00A440D1"/>
    <w:rsid w:val="00A44A5C"/>
    <w:rsid w:val="00A44C9A"/>
    <w:rsid w:val="00A44D98"/>
    <w:rsid w:val="00A4521D"/>
    <w:rsid w:val="00A46FE8"/>
    <w:rsid w:val="00A50C40"/>
    <w:rsid w:val="00A510A4"/>
    <w:rsid w:val="00A5113A"/>
    <w:rsid w:val="00A518A1"/>
    <w:rsid w:val="00A519C6"/>
    <w:rsid w:val="00A51CD6"/>
    <w:rsid w:val="00A52C24"/>
    <w:rsid w:val="00A52E85"/>
    <w:rsid w:val="00A52EAF"/>
    <w:rsid w:val="00A5340D"/>
    <w:rsid w:val="00A53BBD"/>
    <w:rsid w:val="00A5403C"/>
    <w:rsid w:val="00A54D5D"/>
    <w:rsid w:val="00A553F2"/>
    <w:rsid w:val="00A5582E"/>
    <w:rsid w:val="00A559BA"/>
    <w:rsid w:val="00A55A59"/>
    <w:rsid w:val="00A5771F"/>
    <w:rsid w:val="00A57949"/>
    <w:rsid w:val="00A60163"/>
    <w:rsid w:val="00A60878"/>
    <w:rsid w:val="00A608A1"/>
    <w:rsid w:val="00A6122E"/>
    <w:rsid w:val="00A61315"/>
    <w:rsid w:val="00A614E8"/>
    <w:rsid w:val="00A62042"/>
    <w:rsid w:val="00A6248F"/>
    <w:rsid w:val="00A62B81"/>
    <w:rsid w:val="00A62F75"/>
    <w:rsid w:val="00A63328"/>
    <w:rsid w:val="00A63547"/>
    <w:rsid w:val="00A63A69"/>
    <w:rsid w:val="00A645C0"/>
    <w:rsid w:val="00A64C71"/>
    <w:rsid w:val="00A65145"/>
    <w:rsid w:val="00A65462"/>
    <w:rsid w:val="00A65777"/>
    <w:rsid w:val="00A65E39"/>
    <w:rsid w:val="00A6637D"/>
    <w:rsid w:val="00A668A7"/>
    <w:rsid w:val="00A66AC6"/>
    <w:rsid w:val="00A66C72"/>
    <w:rsid w:val="00A66F61"/>
    <w:rsid w:val="00A673FE"/>
    <w:rsid w:val="00A67749"/>
    <w:rsid w:val="00A67AB2"/>
    <w:rsid w:val="00A70F7D"/>
    <w:rsid w:val="00A71C1A"/>
    <w:rsid w:val="00A71D0C"/>
    <w:rsid w:val="00A72401"/>
    <w:rsid w:val="00A72B69"/>
    <w:rsid w:val="00A72DC7"/>
    <w:rsid w:val="00A7346D"/>
    <w:rsid w:val="00A7435F"/>
    <w:rsid w:val="00A74A25"/>
    <w:rsid w:val="00A74C66"/>
    <w:rsid w:val="00A75295"/>
    <w:rsid w:val="00A7569E"/>
    <w:rsid w:val="00A75785"/>
    <w:rsid w:val="00A75CB3"/>
    <w:rsid w:val="00A75D95"/>
    <w:rsid w:val="00A75F67"/>
    <w:rsid w:val="00A765F3"/>
    <w:rsid w:val="00A7663E"/>
    <w:rsid w:val="00A76AD3"/>
    <w:rsid w:val="00A77203"/>
    <w:rsid w:val="00A778B8"/>
    <w:rsid w:val="00A77A0A"/>
    <w:rsid w:val="00A80103"/>
    <w:rsid w:val="00A80B38"/>
    <w:rsid w:val="00A80C6A"/>
    <w:rsid w:val="00A80D6E"/>
    <w:rsid w:val="00A81415"/>
    <w:rsid w:val="00A814D7"/>
    <w:rsid w:val="00A8202C"/>
    <w:rsid w:val="00A82153"/>
    <w:rsid w:val="00A8272F"/>
    <w:rsid w:val="00A8297B"/>
    <w:rsid w:val="00A831A3"/>
    <w:rsid w:val="00A83556"/>
    <w:rsid w:val="00A83587"/>
    <w:rsid w:val="00A84577"/>
    <w:rsid w:val="00A84BC7"/>
    <w:rsid w:val="00A84E47"/>
    <w:rsid w:val="00A85296"/>
    <w:rsid w:val="00A85B33"/>
    <w:rsid w:val="00A85FB9"/>
    <w:rsid w:val="00A86523"/>
    <w:rsid w:val="00A86558"/>
    <w:rsid w:val="00A86593"/>
    <w:rsid w:val="00A86E7A"/>
    <w:rsid w:val="00A8769B"/>
    <w:rsid w:val="00A87A8C"/>
    <w:rsid w:val="00A87AC1"/>
    <w:rsid w:val="00A915B1"/>
    <w:rsid w:val="00A91C4C"/>
    <w:rsid w:val="00A92406"/>
    <w:rsid w:val="00A92917"/>
    <w:rsid w:val="00A92A97"/>
    <w:rsid w:val="00A93672"/>
    <w:rsid w:val="00A93976"/>
    <w:rsid w:val="00A946D4"/>
    <w:rsid w:val="00A94877"/>
    <w:rsid w:val="00A94F69"/>
    <w:rsid w:val="00A95544"/>
    <w:rsid w:val="00A95F7A"/>
    <w:rsid w:val="00A961E6"/>
    <w:rsid w:val="00A96336"/>
    <w:rsid w:val="00A97F7D"/>
    <w:rsid w:val="00A97FF9"/>
    <w:rsid w:val="00AA104D"/>
    <w:rsid w:val="00AA1737"/>
    <w:rsid w:val="00AA218C"/>
    <w:rsid w:val="00AA2455"/>
    <w:rsid w:val="00AA3241"/>
    <w:rsid w:val="00AA3317"/>
    <w:rsid w:val="00AA341E"/>
    <w:rsid w:val="00AA3783"/>
    <w:rsid w:val="00AA3BC2"/>
    <w:rsid w:val="00AA4246"/>
    <w:rsid w:val="00AA52AA"/>
    <w:rsid w:val="00AA5B24"/>
    <w:rsid w:val="00AA5ECB"/>
    <w:rsid w:val="00AA5F3A"/>
    <w:rsid w:val="00AA66DD"/>
    <w:rsid w:val="00AA6A9E"/>
    <w:rsid w:val="00AA6B85"/>
    <w:rsid w:val="00AA7468"/>
    <w:rsid w:val="00AB07B6"/>
    <w:rsid w:val="00AB0B09"/>
    <w:rsid w:val="00AB1063"/>
    <w:rsid w:val="00AB1152"/>
    <w:rsid w:val="00AB15FF"/>
    <w:rsid w:val="00AB208F"/>
    <w:rsid w:val="00AB216D"/>
    <w:rsid w:val="00AB2B47"/>
    <w:rsid w:val="00AB3514"/>
    <w:rsid w:val="00AB3649"/>
    <w:rsid w:val="00AB401B"/>
    <w:rsid w:val="00AB5247"/>
    <w:rsid w:val="00AB58C6"/>
    <w:rsid w:val="00AB59CB"/>
    <w:rsid w:val="00AB5F9B"/>
    <w:rsid w:val="00AB602F"/>
    <w:rsid w:val="00AB6709"/>
    <w:rsid w:val="00AB6E52"/>
    <w:rsid w:val="00AB792B"/>
    <w:rsid w:val="00AB7AC1"/>
    <w:rsid w:val="00AB7B36"/>
    <w:rsid w:val="00AB7EA2"/>
    <w:rsid w:val="00AC0588"/>
    <w:rsid w:val="00AC0C00"/>
    <w:rsid w:val="00AC2D4B"/>
    <w:rsid w:val="00AC316A"/>
    <w:rsid w:val="00AC32B8"/>
    <w:rsid w:val="00AC3514"/>
    <w:rsid w:val="00AC5E0C"/>
    <w:rsid w:val="00AC6883"/>
    <w:rsid w:val="00AC6EF6"/>
    <w:rsid w:val="00AC7277"/>
    <w:rsid w:val="00AC7536"/>
    <w:rsid w:val="00AC7BAC"/>
    <w:rsid w:val="00AD0282"/>
    <w:rsid w:val="00AD0AD5"/>
    <w:rsid w:val="00AD20F0"/>
    <w:rsid w:val="00AD24B6"/>
    <w:rsid w:val="00AD2739"/>
    <w:rsid w:val="00AD27D8"/>
    <w:rsid w:val="00AD2C33"/>
    <w:rsid w:val="00AD30F0"/>
    <w:rsid w:val="00AD5009"/>
    <w:rsid w:val="00AD5A8D"/>
    <w:rsid w:val="00AD6781"/>
    <w:rsid w:val="00AD6A54"/>
    <w:rsid w:val="00AD6AD5"/>
    <w:rsid w:val="00AD72A1"/>
    <w:rsid w:val="00AE03DD"/>
    <w:rsid w:val="00AE0513"/>
    <w:rsid w:val="00AE0698"/>
    <w:rsid w:val="00AE0BB1"/>
    <w:rsid w:val="00AE0D2D"/>
    <w:rsid w:val="00AE1A8A"/>
    <w:rsid w:val="00AE22D2"/>
    <w:rsid w:val="00AE2C32"/>
    <w:rsid w:val="00AE2D4F"/>
    <w:rsid w:val="00AE3191"/>
    <w:rsid w:val="00AE3C98"/>
    <w:rsid w:val="00AE3CBF"/>
    <w:rsid w:val="00AE4C0C"/>
    <w:rsid w:val="00AE4C42"/>
    <w:rsid w:val="00AE4E1F"/>
    <w:rsid w:val="00AE4FEE"/>
    <w:rsid w:val="00AE5701"/>
    <w:rsid w:val="00AE63BE"/>
    <w:rsid w:val="00AE6648"/>
    <w:rsid w:val="00AE693A"/>
    <w:rsid w:val="00AE72CD"/>
    <w:rsid w:val="00AE7D30"/>
    <w:rsid w:val="00AE7E63"/>
    <w:rsid w:val="00AF04D6"/>
    <w:rsid w:val="00AF086C"/>
    <w:rsid w:val="00AF0FD4"/>
    <w:rsid w:val="00AF197C"/>
    <w:rsid w:val="00AF2197"/>
    <w:rsid w:val="00AF2805"/>
    <w:rsid w:val="00AF2A6A"/>
    <w:rsid w:val="00AF324C"/>
    <w:rsid w:val="00AF3376"/>
    <w:rsid w:val="00AF3CAA"/>
    <w:rsid w:val="00AF3F66"/>
    <w:rsid w:val="00AF40CF"/>
    <w:rsid w:val="00AF41C7"/>
    <w:rsid w:val="00AF4339"/>
    <w:rsid w:val="00AF43CB"/>
    <w:rsid w:val="00AF44A2"/>
    <w:rsid w:val="00AF4918"/>
    <w:rsid w:val="00AF4933"/>
    <w:rsid w:val="00AF4CD7"/>
    <w:rsid w:val="00AF56DA"/>
    <w:rsid w:val="00AF582C"/>
    <w:rsid w:val="00AF5BE8"/>
    <w:rsid w:val="00AF6515"/>
    <w:rsid w:val="00AF6BE8"/>
    <w:rsid w:val="00AF6DF8"/>
    <w:rsid w:val="00AF78AE"/>
    <w:rsid w:val="00B00043"/>
    <w:rsid w:val="00B026BF"/>
    <w:rsid w:val="00B029DB"/>
    <w:rsid w:val="00B02C6B"/>
    <w:rsid w:val="00B03237"/>
    <w:rsid w:val="00B04788"/>
    <w:rsid w:val="00B06B7E"/>
    <w:rsid w:val="00B07020"/>
    <w:rsid w:val="00B078BF"/>
    <w:rsid w:val="00B07A87"/>
    <w:rsid w:val="00B103BE"/>
    <w:rsid w:val="00B107E6"/>
    <w:rsid w:val="00B10B61"/>
    <w:rsid w:val="00B10EE9"/>
    <w:rsid w:val="00B11010"/>
    <w:rsid w:val="00B1118D"/>
    <w:rsid w:val="00B117B6"/>
    <w:rsid w:val="00B11A3F"/>
    <w:rsid w:val="00B11A5C"/>
    <w:rsid w:val="00B11C41"/>
    <w:rsid w:val="00B12289"/>
    <w:rsid w:val="00B126BF"/>
    <w:rsid w:val="00B12969"/>
    <w:rsid w:val="00B12DB2"/>
    <w:rsid w:val="00B12EED"/>
    <w:rsid w:val="00B14111"/>
    <w:rsid w:val="00B145C1"/>
    <w:rsid w:val="00B14C9F"/>
    <w:rsid w:val="00B15393"/>
    <w:rsid w:val="00B15984"/>
    <w:rsid w:val="00B15B9C"/>
    <w:rsid w:val="00B15DF0"/>
    <w:rsid w:val="00B15EB0"/>
    <w:rsid w:val="00B16E5B"/>
    <w:rsid w:val="00B16EAF"/>
    <w:rsid w:val="00B17112"/>
    <w:rsid w:val="00B175AE"/>
    <w:rsid w:val="00B200A3"/>
    <w:rsid w:val="00B208FE"/>
    <w:rsid w:val="00B20FFC"/>
    <w:rsid w:val="00B218BD"/>
    <w:rsid w:val="00B23072"/>
    <w:rsid w:val="00B2356F"/>
    <w:rsid w:val="00B23F9E"/>
    <w:rsid w:val="00B23FA1"/>
    <w:rsid w:val="00B2577F"/>
    <w:rsid w:val="00B25B1E"/>
    <w:rsid w:val="00B25C54"/>
    <w:rsid w:val="00B25EB7"/>
    <w:rsid w:val="00B25ECA"/>
    <w:rsid w:val="00B27E2D"/>
    <w:rsid w:val="00B30E95"/>
    <w:rsid w:val="00B31D8C"/>
    <w:rsid w:val="00B31E2D"/>
    <w:rsid w:val="00B33364"/>
    <w:rsid w:val="00B340D5"/>
    <w:rsid w:val="00B3476B"/>
    <w:rsid w:val="00B3478E"/>
    <w:rsid w:val="00B35A79"/>
    <w:rsid w:val="00B36113"/>
    <w:rsid w:val="00B362F6"/>
    <w:rsid w:val="00B363CD"/>
    <w:rsid w:val="00B36663"/>
    <w:rsid w:val="00B36775"/>
    <w:rsid w:val="00B36FC0"/>
    <w:rsid w:val="00B370BE"/>
    <w:rsid w:val="00B3760F"/>
    <w:rsid w:val="00B37A92"/>
    <w:rsid w:val="00B37CDF"/>
    <w:rsid w:val="00B37E1B"/>
    <w:rsid w:val="00B40372"/>
    <w:rsid w:val="00B40A59"/>
    <w:rsid w:val="00B40E7F"/>
    <w:rsid w:val="00B41010"/>
    <w:rsid w:val="00B416B4"/>
    <w:rsid w:val="00B42B03"/>
    <w:rsid w:val="00B43642"/>
    <w:rsid w:val="00B443B6"/>
    <w:rsid w:val="00B449E5"/>
    <w:rsid w:val="00B44AC3"/>
    <w:rsid w:val="00B44D73"/>
    <w:rsid w:val="00B450CD"/>
    <w:rsid w:val="00B45A43"/>
    <w:rsid w:val="00B45A7E"/>
    <w:rsid w:val="00B45B12"/>
    <w:rsid w:val="00B45F6F"/>
    <w:rsid w:val="00B4610E"/>
    <w:rsid w:val="00B4614C"/>
    <w:rsid w:val="00B467D5"/>
    <w:rsid w:val="00B47083"/>
    <w:rsid w:val="00B500D1"/>
    <w:rsid w:val="00B50CF7"/>
    <w:rsid w:val="00B516C7"/>
    <w:rsid w:val="00B51936"/>
    <w:rsid w:val="00B5201D"/>
    <w:rsid w:val="00B52522"/>
    <w:rsid w:val="00B538A3"/>
    <w:rsid w:val="00B53B88"/>
    <w:rsid w:val="00B53C11"/>
    <w:rsid w:val="00B5406D"/>
    <w:rsid w:val="00B5435F"/>
    <w:rsid w:val="00B54696"/>
    <w:rsid w:val="00B552CA"/>
    <w:rsid w:val="00B556AB"/>
    <w:rsid w:val="00B56005"/>
    <w:rsid w:val="00B562BE"/>
    <w:rsid w:val="00B56A13"/>
    <w:rsid w:val="00B56E8D"/>
    <w:rsid w:val="00B57FE7"/>
    <w:rsid w:val="00B609C0"/>
    <w:rsid w:val="00B60D8E"/>
    <w:rsid w:val="00B61129"/>
    <w:rsid w:val="00B63230"/>
    <w:rsid w:val="00B633D6"/>
    <w:rsid w:val="00B637BC"/>
    <w:rsid w:val="00B63ADD"/>
    <w:rsid w:val="00B63ED7"/>
    <w:rsid w:val="00B640AC"/>
    <w:rsid w:val="00B6422A"/>
    <w:rsid w:val="00B64B5C"/>
    <w:rsid w:val="00B64F72"/>
    <w:rsid w:val="00B65C5E"/>
    <w:rsid w:val="00B65ED0"/>
    <w:rsid w:val="00B666A5"/>
    <w:rsid w:val="00B66B60"/>
    <w:rsid w:val="00B674C9"/>
    <w:rsid w:val="00B70431"/>
    <w:rsid w:val="00B704AC"/>
    <w:rsid w:val="00B70549"/>
    <w:rsid w:val="00B70FED"/>
    <w:rsid w:val="00B7100D"/>
    <w:rsid w:val="00B7109B"/>
    <w:rsid w:val="00B710AF"/>
    <w:rsid w:val="00B72272"/>
    <w:rsid w:val="00B726A0"/>
    <w:rsid w:val="00B7281F"/>
    <w:rsid w:val="00B72A49"/>
    <w:rsid w:val="00B7343D"/>
    <w:rsid w:val="00B73C88"/>
    <w:rsid w:val="00B74E3B"/>
    <w:rsid w:val="00B75C46"/>
    <w:rsid w:val="00B75E5E"/>
    <w:rsid w:val="00B77ECC"/>
    <w:rsid w:val="00B8005D"/>
    <w:rsid w:val="00B80196"/>
    <w:rsid w:val="00B80B3B"/>
    <w:rsid w:val="00B8105F"/>
    <w:rsid w:val="00B817AE"/>
    <w:rsid w:val="00B8181F"/>
    <w:rsid w:val="00B81E82"/>
    <w:rsid w:val="00B82022"/>
    <w:rsid w:val="00B82154"/>
    <w:rsid w:val="00B821FF"/>
    <w:rsid w:val="00B829D9"/>
    <w:rsid w:val="00B82E40"/>
    <w:rsid w:val="00B8392E"/>
    <w:rsid w:val="00B846BB"/>
    <w:rsid w:val="00B84E95"/>
    <w:rsid w:val="00B85698"/>
    <w:rsid w:val="00B85C91"/>
    <w:rsid w:val="00B85F3E"/>
    <w:rsid w:val="00B8616E"/>
    <w:rsid w:val="00B862CA"/>
    <w:rsid w:val="00B86592"/>
    <w:rsid w:val="00B87291"/>
    <w:rsid w:val="00B87B0D"/>
    <w:rsid w:val="00B90017"/>
    <w:rsid w:val="00B902DF"/>
    <w:rsid w:val="00B9089D"/>
    <w:rsid w:val="00B90E07"/>
    <w:rsid w:val="00B91158"/>
    <w:rsid w:val="00B91B84"/>
    <w:rsid w:val="00B92280"/>
    <w:rsid w:val="00B92880"/>
    <w:rsid w:val="00B92917"/>
    <w:rsid w:val="00B929F5"/>
    <w:rsid w:val="00B93258"/>
    <w:rsid w:val="00B93B49"/>
    <w:rsid w:val="00B94303"/>
    <w:rsid w:val="00B94463"/>
    <w:rsid w:val="00B944C6"/>
    <w:rsid w:val="00B94E5D"/>
    <w:rsid w:val="00B95B65"/>
    <w:rsid w:val="00B960C8"/>
    <w:rsid w:val="00B968A1"/>
    <w:rsid w:val="00B96A63"/>
    <w:rsid w:val="00B96D1C"/>
    <w:rsid w:val="00B97323"/>
    <w:rsid w:val="00B97AD4"/>
    <w:rsid w:val="00BA030D"/>
    <w:rsid w:val="00BA038D"/>
    <w:rsid w:val="00BA0C2C"/>
    <w:rsid w:val="00BA0D5A"/>
    <w:rsid w:val="00BA112B"/>
    <w:rsid w:val="00BA1650"/>
    <w:rsid w:val="00BA1B9F"/>
    <w:rsid w:val="00BA247A"/>
    <w:rsid w:val="00BA2BD0"/>
    <w:rsid w:val="00BA2F41"/>
    <w:rsid w:val="00BA3601"/>
    <w:rsid w:val="00BA42D6"/>
    <w:rsid w:val="00BA4923"/>
    <w:rsid w:val="00BA4A30"/>
    <w:rsid w:val="00BA4B9C"/>
    <w:rsid w:val="00BA4D81"/>
    <w:rsid w:val="00BA4DC9"/>
    <w:rsid w:val="00BA5890"/>
    <w:rsid w:val="00BA5BD1"/>
    <w:rsid w:val="00BA5F8D"/>
    <w:rsid w:val="00BA6261"/>
    <w:rsid w:val="00BA6543"/>
    <w:rsid w:val="00BA6EE7"/>
    <w:rsid w:val="00BA749D"/>
    <w:rsid w:val="00BA76DE"/>
    <w:rsid w:val="00BA7B8F"/>
    <w:rsid w:val="00BB020F"/>
    <w:rsid w:val="00BB0587"/>
    <w:rsid w:val="00BB0E56"/>
    <w:rsid w:val="00BB1603"/>
    <w:rsid w:val="00BB1790"/>
    <w:rsid w:val="00BB1F3F"/>
    <w:rsid w:val="00BB3499"/>
    <w:rsid w:val="00BB3877"/>
    <w:rsid w:val="00BB39DC"/>
    <w:rsid w:val="00BB4427"/>
    <w:rsid w:val="00BB5099"/>
    <w:rsid w:val="00BB65BE"/>
    <w:rsid w:val="00BB6D08"/>
    <w:rsid w:val="00BB70A1"/>
    <w:rsid w:val="00BB715C"/>
    <w:rsid w:val="00BB75BB"/>
    <w:rsid w:val="00BC0BD2"/>
    <w:rsid w:val="00BC11BD"/>
    <w:rsid w:val="00BC131E"/>
    <w:rsid w:val="00BC1453"/>
    <w:rsid w:val="00BC22E1"/>
    <w:rsid w:val="00BC2C5F"/>
    <w:rsid w:val="00BC3FDF"/>
    <w:rsid w:val="00BC41D3"/>
    <w:rsid w:val="00BC483D"/>
    <w:rsid w:val="00BC488B"/>
    <w:rsid w:val="00BC4C09"/>
    <w:rsid w:val="00BC4DDE"/>
    <w:rsid w:val="00BC5246"/>
    <w:rsid w:val="00BC563B"/>
    <w:rsid w:val="00BC597F"/>
    <w:rsid w:val="00BC609E"/>
    <w:rsid w:val="00BC624C"/>
    <w:rsid w:val="00BC719B"/>
    <w:rsid w:val="00BC7494"/>
    <w:rsid w:val="00BC78B7"/>
    <w:rsid w:val="00BD00D3"/>
    <w:rsid w:val="00BD0837"/>
    <w:rsid w:val="00BD09EC"/>
    <w:rsid w:val="00BD1015"/>
    <w:rsid w:val="00BD1262"/>
    <w:rsid w:val="00BD1B6F"/>
    <w:rsid w:val="00BD234C"/>
    <w:rsid w:val="00BD350D"/>
    <w:rsid w:val="00BD433D"/>
    <w:rsid w:val="00BD4709"/>
    <w:rsid w:val="00BD4C59"/>
    <w:rsid w:val="00BD4E29"/>
    <w:rsid w:val="00BD505E"/>
    <w:rsid w:val="00BD55F7"/>
    <w:rsid w:val="00BD5B26"/>
    <w:rsid w:val="00BD639B"/>
    <w:rsid w:val="00BD6506"/>
    <w:rsid w:val="00BD6929"/>
    <w:rsid w:val="00BD6B5E"/>
    <w:rsid w:val="00BD705E"/>
    <w:rsid w:val="00BD77A5"/>
    <w:rsid w:val="00BD7862"/>
    <w:rsid w:val="00BD7CC0"/>
    <w:rsid w:val="00BD7E9F"/>
    <w:rsid w:val="00BE005B"/>
    <w:rsid w:val="00BE006C"/>
    <w:rsid w:val="00BE02B8"/>
    <w:rsid w:val="00BE0343"/>
    <w:rsid w:val="00BE06A6"/>
    <w:rsid w:val="00BE0764"/>
    <w:rsid w:val="00BE080B"/>
    <w:rsid w:val="00BE0AE6"/>
    <w:rsid w:val="00BE1648"/>
    <w:rsid w:val="00BE2AE0"/>
    <w:rsid w:val="00BE37DF"/>
    <w:rsid w:val="00BE3C2F"/>
    <w:rsid w:val="00BE406D"/>
    <w:rsid w:val="00BE4498"/>
    <w:rsid w:val="00BE45B9"/>
    <w:rsid w:val="00BE4D8A"/>
    <w:rsid w:val="00BE52E0"/>
    <w:rsid w:val="00BE555D"/>
    <w:rsid w:val="00BE5A8F"/>
    <w:rsid w:val="00BE5F53"/>
    <w:rsid w:val="00BE6412"/>
    <w:rsid w:val="00BE6708"/>
    <w:rsid w:val="00BE77A6"/>
    <w:rsid w:val="00BE7E75"/>
    <w:rsid w:val="00BF02C9"/>
    <w:rsid w:val="00BF0968"/>
    <w:rsid w:val="00BF0EB4"/>
    <w:rsid w:val="00BF13E4"/>
    <w:rsid w:val="00BF193A"/>
    <w:rsid w:val="00BF2010"/>
    <w:rsid w:val="00BF29F8"/>
    <w:rsid w:val="00BF2CD7"/>
    <w:rsid w:val="00BF2D52"/>
    <w:rsid w:val="00BF313D"/>
    <w:rsid w:val="00BF33A3"/>
    <w:rsid w:val="00BF3E24"/>
    <w:rsid w:val="00BF4032"/>
    <w:rsid w:val="00BF43EC"/>
    <w:rsid w:val="00BF4B0C"/>
    <w:rsid w:val="00BF531D"/>
    <w:rsid w:val="00BF5757"/>
    <w:rsid w:val="00BF5C5B"/>
    <w:rsid w:val="00BF5F2B"/>
    <w:rsid w:val="00BF66B6"/>
    <w:rsid w:val="00BF67AE"/>
    <w:rsid w:val="00BF6F0E"/>
    <w:rsid w:val="00BF72C6"/>
    <w:rsid w:val="00BF79F6"/>
    <w:rsid w:val="00C00072"/>
    <w:rsid w:val="00C01727"/>
    <w:rsid w:val="00C01AA1"/>
    <w:rsid w:val="00C01B67"/>
    <w:rsid w:val="00C01BF4"/>
    <w:rsid w:val="00C02F86"/>
    <w:rsid w:val="00C03D65"/>
    <w:rsid w:val="00C04614"/>
    <w:rsid w:val="00C059D9"/>
    <w:rsid w:val="00C05BD2"/>
    <w:rsid w:val="00C06AEC"/>
    <w:rsid w:val="00C06C3D"/>
    <w:rsid w:val="00C0789D"/>
    <w:rsid w:val="00C10B7E"/>
    <w:rsid w:val="00C10CBD"/>
    <w:rsid w:val="00C11918"/>
    <w:rsid w:val="00C11D0D"/>
    <w:rsid w:val="00C11F67"/>
    <w:rsid w:val="00C12205"/>
    <w:rsid w:val="00C12547"/>
    <w:rsid w:val="00C1318F"/>
    <w:rsid w:val="00C138D7"/>
    <w:rsid w:val="00C141C8"/>
    <w:rsid w:val="00C14701"/>
    <w:rsid w:val="00C15288"/>
    <w:rsid w:val="00C153A9"/>
    <w:rsid w:val="00C155D0"/>
    <w:rsid w:val="00C155D4"/>
    <w:rsid w:val="00C15946"/>
    <w:rsid w:val="00C15A4E"/>
    <w:rsid w:val="00C15FE0"/>
    <w:rsid w:val="00C16075"/>
    <w:rsid w:val="00C167C8"/>
    <w:rsid w:val="00C16B25"/>
    <w:rsid w:val="00C16E90"/>
    <w:rsid w:val="00C1728E"/>
    <w:rsid w:val="00C21266"/>
    <w:rsid w:val="00C212E0"/>
    <w:rsid w:val="00C21579"/>
    <w:rsid w:val="00C2162D"/>
    <w:rsid w:val="00C21766"/>
    <w:rsid w:val="00C22AB4"/>
    <w:rsid w:val="00C23B39"/>
    <w:rsid w:val="00C24854"/>
    <w:rsid w:val="00C24F17"/>
    <w:rsid w:val="00C250BF"/>
    <w:rsid w:val="00C25103"/>
    <w:rsid w:val="00C26B90"/>
    <w:rsid w:val="00C274E1"/>
    <w:rsid w:val="00C30603"/>
    <w:rsid w:val="00C30F88"/>
    <w:rsid w:val="00C31C9A"/>
    <w:rsid w:val="00C32101"/>
    <w:rsid w:val="00C32770"/>
    <w:rsid w:val="00C32E14"/>
    <w:rsid w:val="00C332E8"/>
    <w:rsid w:val="00C33753"/>
    <w:rsid w:val="00C35B3C"/>
    <w:rsid w:val="00C35BAB"/>
    <w:rsid w:val="00C35E49"/>
    <w:rsid w:val="00C35FDE"/>
    <w:rsid w:val="00C3655F"/>
    <w:rsid w:val="00C3659C"/>
    <w:rsid w:val="00C402B2"/>
    <w:rsid w:val="00C40883"/>
    <w:rsid w:val="00C419ED"/>
    <w:rsid w:val="00C4229E"/>
    <w:rsid w:val="00C42A2C"/>
    <w:rsid w:val="00C42CC8"/>
    <w:rsid w:val="00C42DC2"/>
    <w:rsid w:val="00C4347D"/>
    <w:rsid w:val="00C43EB0"/>
    <w:rsid w:val="00C44299"/>
    <w:rsid w:val="00C44D17"/>
    <w:rsid w:val="00C44F15"/>
    <w:rsid w:val="00C451A9"/>
    <w:rsid w:val="00C45583"/>
    <w:rsid w:val="00C4682F"/>
    <w:rsid w:val="00C46AE1"/>
    <w:rsid w:val="00C46CCE"/>
    <w:rsid w:val="00C46D3E"/>
    <w:rsid w:val="00C46E52"/>
    <w:rsid w:val="00C46FBA"/>
    <w:rsid w:val="00C471C9"/>
    <w:rsid w:val="00C47242"/>
    <w:rsid w:val="00C5009A"/>
    <w:rsid w:val="00C52165"/>
    <w:rsid w:val="00C52F3C"/>
    <w:rsid w:val="00C52FAB"/>
    <w:rsid w:val="00C53463"/>
    <w:rsid w:val="00C53669"/>
    <w:rsid w:val="00C53752"/>
    <w:rsid w:val="00C54550"/>
    <w:rsid w:val="00C54AA8"/>
    <w:rsid w:val="00C54CBF"/>
    <w:rsid w:val="00C550BB"/>
    <w:rsid w:val="00C55198"/>
    <w:rsid w:val="00C55F5A"/>
    <w:rsid w:val="00C56261"/>
    <w:rsid w:val="00C57461"/>
    <w:rsid w:val="00C579D9"/>
    <w:rsid w:val="00C57CFB"/>
    <w:rsid w:val="00C60108"/>
    <w:rsid w:val="00C609EE"/>
    <w:rsid w:val="00C61961"/>
    <w:rsid w:val="00C61E4D"/>
    <w:rsid w:val="00C63130"/>
    <w:rsid w:val="00C6366E"/>
    <w:rsid w:val="00C63BC0"/>
    <w:rsid w:val="00C6415A"/>
    <w:rsid w:val="00C646C4"/>
    <w:rsid w:val="00C64B24"/>
    <w:rsid w:val="00C64CEB"/>
    <w:rsid w:val="00C64EAA"/>
    <w:rsid w:val="00C652ED"/>
    <w:rsid w:val="00C65487"/>
    <w:rsid w:val="00C656AA"/>
    <w:rsid w:val="00C65721"/>
    <w:rsid w:val="00C65978"/>
    <w:rsid w:val="00C6600A"/>
    <w:rsid w:val="00C66243"/>
    <w:rsid w:val="00C663C1"/>
    <w:rsid w:val="00C664EA"/>
    <w:rsid w:val="00C665EE"/>
    <w:rsid w:val="00C67439"/>
    <w:rsid w:val="00C67906"/>
    <w:rsid w:val="00C67E2F"/>
    <w:rsid w:val="00C67E75"/>
    <w:rsid w:val="00C7067F"/>
    <w:rsid w:val="00C70787"/>
    <w:rsid w:val="00C70DB4"/>
    <w:rsid w:val="00C7124A"/>
    <w:rsid w:val="00C71D9E"/>
    <w:rsid w:val="00C72142"/>
    <w:rsid w:val="00C728EC"/>
    <w:rsid w:val="00C72D5D"/>
    <w:rsid w:val="00C741B0"/>
    <w:rsid w:val="00C741C1"/>
    <w:rsid w:val="00C748F2"/>
    <w:rsid w:val="00C74D11"/>
    <w:rsid w:val="00C74E1A"/>
    <w:rsid w:val="00C762E4"/>
    <w:rsid w:val="00C76D1D"/>
    <w:rsid w:val="00C77102"/>
    <w:rsid w:val="00C7721A"/>
    <w:rsid w:val="00C801BC"/>
    <w:rsid w:val="00C80B65"/>
    <w:rsid w:val="00C80C46"/>
    <w:rsid w:val="00C81630"/>
    <w:rsid w:val="00C81769"/>
    <w:rsid w:val="00C819AC"/>
    <w:rsid w:val="00C81D22"/>
    <w:rsid w:val="00C82148"/>
    <w:rsid w:val="00C82491"/>
    <w:rsid w:val="00C8259C"/>
    <w:rsid w:val="00C82DD5"/>
    <w:rsid w:val="00C83AD2"/>
    <w:rsid w:val="00C83F49"/>
    <w:rsid w:val="00C83FB1"/>
    <w:rsid w:val="00C84797"/>
    <w:rsid w:val="00C84BFC"/>
    <w:rsid w:val="00C851AF"/>
    <w:rsid w:val="00C8580E"/>
    <w:rsid w:val="00C85865"/>
    <w:rsid w:val="00C859E1"/>
    <w:rsid w:val="00C85AF0"/>
    <w:rsid w:val="00C85C53"/>
    <w:rsid w:val="00C85F94"/>
    <w:rsid w:val="00C8778F"/>
    <w:rsid w:val="00C90505"/>
    <w:rsid w:val="00C906B9"/>
    <w:rsid w:val="00C908D7"/>
    <w:rsid w:val="00C90A78"/>
    <w:rsid w:val="00C90AB8"/>
    <w:rsid w:val="00C91568"/>
    <w:rsid w:val="00C91BBA"/>
    <w:rsid w:val="00C92055"/>
    <w:rsid w:val="00C92490"/>
    <w:rsid w:val="00C92D0F"/>
    <w:rsid w:val="00C92E3A"/>
    <w:rsid w:val="00C93E4A"/>
    <w:rsid w:val="00C9411A"/>
    <w:rsid w:val="00C941B6"/>
    <w:rsid w:val="00C94544"/>
    <w:rsid w:val="00C94804"/>
    <w:rsid w:val="00C94DDA"/>
    <w:rsid w:val="00C95120"/>
    <w:rsid w:val="00C95281"/>
    <w:rsid w:val="00C962A3"/>
    <w:rsid w:val="00C963B7"/>
    <w:rsid w:val="00C96404"/>
    <w:rsid w:val="00C96813"/>
    <w:rsid w:val="00C97594"/>
    <w:rsid w:val="00C97607"/>
    <w:rsid w:val="00C97798"/>
    <w:rsid w:val="00C97E9F"/>
    <w:rsid w:val="00C97EB0"/>
    <w:rsid w:val="00C97F39"/>
    <w:rsid w:val="00C97FAB"/>
    <w:rsid w:val="00CA0562"/>
    <w:rsid w:val="00CA0E25"/>
    <w:rsid w:val="00CA0F49"/>
    <w:rsid w:val="00CA0F53"/>
    <w:rsid w:val="00CA103F"/>
    <w:rsid w:val="00CA1A0B"/>
    <w:rsid w:val="00CA1FE0"/>
    <w:rsid w:val="00CA2269"/>
    <w:rsid w:val="00CA25C1"/>
    <w:rsid w:val="00CA34EF"/>
    <w:rsid w:val="00CA356B"/>
    <w:rsid w:val="00CA3CC3"/>
    <w:rsid w:val="00CA400E"/>
    <w:rsid w:val="00CA4C95"/>
    <w:rsid w:val="00CA5500"/>
    <w:rsid w:val="00CA569A"/>
    <w:rsid w:val="00CA5992"/>
    <w:rsid w:val="00CA6193"/>
    <w:rsid w:val="00CA6445"/>
    <w:rsid w:val="00CA65EA"/>
    <w:rsid w:val="00CA6961"/>
    <w:rsid w:val="00CA6FC4"/>
    <w:rsid w:val="00CA74F3"/>
    <w:rsid w:val="00CA7868"/>
    <w:rsid w:val="00CB013E"/>
    <w:rsid w:val="00CB066F"/>
    <w:rsid w:val="00CB1CD5"/>
    <w:rsid w:val="00CB2563"/>
    <w:rsid w:val="00CB285B"/>
    <w:rsid w:val="00CB30A3"/>
    <w:rsid w:val="00CB4954"/>
    <w:rsid w:val="00CB5AC3"/>
    <w:rsid w:val="00CB5AD3"/>
    <w:rsid w:val="00CB5D43"/>
    <w:rsid w:val="00CB5F5F"/>
    <w:rsid w:val="00CB698F"/>
    <w:rsid w:val="00CB754E"/>
    <w:rsid w:val="00CB7AB3"/>
    <w:rsid w:val="00CC0361"/>
    <w:rsid w:val="00CC12B3"/>
    <w:rsid w:val="00CC29C7"/>
    <w:rsid w:val="00CC2ADF"/>
    <w:rsid w:val="00CC389D"/>
    <w:rsid w:val="00CC3F08"/>
    <w:rsid w:val="00CC4BDC"/>
    <w:rsid w:val="00CC581B"/>
    <w:rsid w:val="00CC6978"/>
    <w:rsid w:val="00CC6B7A"/>
    <w:rsid w:val="00CC7658"/>
    <w:rsid w:val="00CC7774"/>
    <w:rsid w:val="00CC7AC0"/>
    <w:rsid w:val="00CC7E58"/>
    <w:rsid w:val="00CD0817"/>
    <w:rsid w:val="00CD0AF0"/>
    <w:rsid w:val="00CD0FF8"/>
    <w:rsid w:val="00CD1B4F"/>
    <w:rsid w:val="00CD226C"/>
    <w:rsid w:val="00CD2333"/>
    <w:rsid w:val="00CD2C3F"/>
    <w:rsid w:val="00CD3949"/>
    <w:rsid w:val="00CD3B25"/>
    <w:rsid w:val="00CD5804"/>
    <w:rsid w:val="00CD5897"/>
    <w:rsid w:val="00CD5B7F"/>
    <w:rsid w:val="00CD6ABA"/>
    <w:rsid w:val="00CD6EDD"/>
    <w:rsid w:val="00CD74AF"/>
    <w:rsid w:val="00CD77AD"/>
    <w:rsid w:val="00CD7C83"/>
    <w:rsid w:val="00CE0027"/>
    <w:rsid w:val="00CE0552"/>
    <w:rsid w:val="00CE0F5F"/>
    <w:rsid w:val="00CE1742"/>
    <w:rsid w:val="00CE1C02"/>
    <w:rsid w:val="00CE1E53"/>
    <w:rsid w:val="00CE266F"/>
    <w:rsid w:val="00CE2681"/>
    <w:rsid w:val="00CE3E38"/>
    <w:rsid w:val="00CE406B"/>
    <w:rsid w:val="00CE407C"/>
    <w:rsid w:val="00CE4292"/>
    <w:rsid w:val="00CE4AE2"/>
    <w:rsid w:val="00CE5AEA"/>
    <w:rsid w:val="00CE5B0A"/>
    <w:rsid w:val="00CE6A0F"/>
    <w:rsid w:val="00CE6F0B"/>
    <w:rsid w:val="00CE7635"/>
    <w:rsid w:val="00CE7EFF"/>
    <w:rsid w:val="00CF008D"/>
    <w:rsid w:val="00CF02DA"/>
    <w:rsid w:val="00CF303A"/>
    <w:rsid w:val="00CF33ED"/>
    <w:rsid w:val="00CF3558"/>
    <w:rsid w:val="00CF37F6"/>
    <w:rsid w:val="00CF381A"/>
    <w:rsid w:val="00CF3C3B"/>
    <w:rsid w:val="00CF40B0"/>
    <w:rsid w:val="00CF44F2"/>
    <w:rsid w:val="00CF4966"/>
    <w:rsid w:val="00CF4AC7"/>
    <w:rsid w:val="00CF4E41"/>
    <w:rsid w:val="00CF5D47"/>
    <w:rsid w:val="00CF7662"/>
    <w:rsid w:val="00CF776D"/>
    <w:rsid w:val="00CF7D6B"/>
    <w:rsid w:val="00D001CA"/>
    <w:rsid w:val="00D01069"/>
    <w:rsid w:val="00D01557"/>
    <w:rsid w:val="00D0283E"/>
    <w:rsid w:val="00D029C1"/>
    <w:rsid w:val="00D033B7"/>
    <w:rsid w:val="00D03483"/>
    <w:rsid w:val="00D035A0"/>
    <w:rsid w:val="00D03C0E"/>
    <w:rsid w:val="00D04463"/>
    <w:rsid w:val="00D04D4F"/>
    <w:rsid w:val="00D05035"/>
    <w:rsid w:val="00D05794"/>
    <w:rsid w:val="00D05AA7"/>
    <w:rsid w:val="00D05E71"/>
    <w:rsid w:val="00D06F34"/>
    <w:rsid w:val="00D072EF"/>
    <w:rsid w:val="00D07920"/>
    <w:rsid w:val="00D07C26"/>
    <w:rsid w:val="00D07F32"/>
    <w:rsid w:val="00D10C25"/>
    <w:rsid w:val="00D10F57"/>
    <w:rsid w:val="00D11C0A"/>
    <w:rsid w:val="00D11E5E"/>
    <w:rsid w:val="00D125D1"/>
    <w:rsid w:val="00D1288E"/>
    <w:rsid w:val="00D132A5"/>
    <w:rsid w:val="00D13A7C"/>
    <w:rsid w:val="00D13B90"/>
    <w:rsid w:val="00D13F22"/>
    <w:rsid w:val="00D14195"/>
    <w:rsid w:val="00D16654"/>
    <w:rsid w:val="00D166CD"/>
    <w:rsid w:val="00D168DA"/>
    <w:rsid w:val="00D16A9F"/>
    <w:rsid w:val="00D1774F"/>
    <w:rsid w:val="00D17964"/>
    <w:rsid w:val="00D17C7E"/>
    <w:rsid w:val="00D20BFB"/>
    <w:rsid w:val="00D20C88"/>
    <w:rsid w:val="00D20DC0"/>
    <w:rsid w:val="00D21929"/>
    <w:rsid w:val="00D21BEF"/>
    <w:rsid w:val="00D21C97"/>
    <w:rsid w:val="00D228CD"/>
    <w:rsid w:val="00D22A70"/>
    <w:rsid w:val="00D2342E"/>
    <w:rsid w:val="00D24436"/>
    <w:rsid w:val="00D24FAF"/>
    <w:rsid w:val="00D25A78"/>
    <w:rsid w:val="00D26693"/>
    <w:rsid w:val="00D26DB9"/>
    <w:rsid w:val="00D26F97"/>
    <w:rsid w:val="00D2710D"/>
    <w:rsid w:val="00D2751D"/>
    <w:rsid w:val="00D27AAF"/>
    <w:rsid w:val="00D27E7E"/>
    <w:rsid w:val="00D30BB8"/>
    <w:rsid w:val="00D30D53"/>
    <w:rsid w:val="00D31F1E"/>
    <w:rsid w:val="00D31F98"/>
    <w:rsid w:val="00D32049"/>
    <w:rsid w:val="00D3233F"/>
    <w:rsid w:val="00D32407"/>
    <w:rsid w:val="00D32CCC"/>
    <w:rsid w:val="00D32EE3"/>
    <w:rsid w:val="00D33547"/>
    <w:rsid w:val="00D33699"/>
    <w:rsid w:val="00D33A6E"/>
    <w:rsid w:val="00D33E58"/>
    <w:rsid w:val="00D348AD"/>
    <w:rsid w:val="00D34D6E"/>
    <w:rsid w:val="00D351BF"/>
    <w:rsid w:val="00D357A3"/>
    <w:rsid w:val="00D35CB7"/>
    <w:rsid w:val="00D36C16"/>
    <w:rsid w:val="00D36D83"/>
    <w:rsid w:val="00D36E57"/>
    <w:rsid w:val="00D36F50"/>
    <w:rsid w:val="00D3726B"/>
    <w:rsid w:val="00D37547"/>
    <w:rsid w:val="00D3793C"/>
    <w:rsid w:val="00D40441"/>
    <w:rsid w:val="00D4070D"/>
    <w:rsid w:val="00D40BED"/>
    <w:rsid w:val="00D40EAD"/>
    <w:rsid w:val="00D412F3"/>
    <w:rsid w:val="00D42AF0"/>
    <w:rsid w:val="00D42B2F"/>
    <w:rsid w:val="00D42F00"/>
    <w:rsid w:val="00D4371F"/>
    <w:rsid w:val="00D44FB8"/>
    <w:rsid w:val="00D45434"/>
    <w:rsid w:val="00D459A5"/>
    <w:rsid w:val="00D459D8"/>
    <w:rsid w:val="00D45CC7"/>
    <w:rsid w:val="00D45CEE"/>
    <w:rsid w:val="00D45DD5"/>
    <w:rsid w:val="00D464A5"/>
    <w:rsid w:val="00D47138"/>
    <w:rsid w:val="00D47493"/>
    <w:rsid w:val="00D4758F"/>
    <w:rsid w:val="00D47E21"/>
    <w:rsid w:val="00D501D8"/>
    <w:rsid w:val="00D50B41"/>
    <w:rsid w:val="00D50BD6"/>
    <w:rsid w:val="00D51677"/>
    <w:rsid w:val="00D516D3"/>
    <w:rsid w:val="00D51D13"/>
    <w:rsid w:val="00D52301"/>
    <w:rsid w:val="00D52730"/>
    <w:rsid w:val="00D53B51"/>
    <w:rsid w:val="00D55521"/>
    <w:rsid w:val="00D5593D"/>
    <w:rsid w:val="00D57246"/>
    <w:rsid w:val="00D57906"/>
    <w:rsid w:val="00D57BBF"/>
    <w:rsid w:val="00D60A7B"/>
    <w:rsid w:val="00D60E43"/>
    <w:rsid w:val="00D615A1"/>
    <w:rsid w:val="00D62051"/>
    <w:rsid w:val="00D6208E"/>
    <w:rsid w:val="00D6227C"/>
    <w:rsid w:val="00D630D6"/>
    <w:rsid w:val="00D63225"/>
    <w:rsid w:val="00D63BE6"/>
    <w:rsid w:val="00D63CD8"/>
    <w:rsid w:val="00D64034"/>
    <w:rsid w:val="00D64891"/>
    <w:rsid w:val="00D64B7C"/>
    <w:rsid w:val="00D64E08"/>
    <w:rsid w:val="00D6520D"/>
    <w:rsid w:val="00D65A47"/>
    <w:rsid w:val="00D665E4"/>
    <w:rsid w:val="00D665EE"/>
    <w:rsid w:val="00D66862"/>
    <w:rsid w:val="00D66D60"/>
    <w:rsid w:val="00D66DDF"/>
    <w:rsid w:val="00D67C5C"/>
    <w:rsid w:val="00D71077"/>
    <w:rsid w:val="00D71F04"/>
    <w:rsid w:val="00D72155"/>
    <w:rsid w:val="00D72159"/>
    <w:rsid w:val="00D726E2"/>
    <w:rsid w:val="00D729F8"/>
    <w:rsid w:val="00D72F72"/>
    <w:rsid w:val="00D7316B"/>
    <w:rsid w:val="00D73E6D"/>
    <w:rsid w:val="00D7400F"/>
    <w:rsid w:val="00D741B7"/>
    <w:rsid w:val="00D748D6"/>
    <w:rsid w:val="00D74977"/>
    <w:rsid w:val="00D74BAA"/>
    <w:rsid w:val="00D74F11"/>
    <w:rsid w:val="00D756B7"/>
    <w:rsid w:val="00D75917"/>
    <w:rsid w:val="00D75B37"/>
    <w:rsid w:val="00D75F12"/>
    <w:rsid w:val="00D767A9"/>
    <w:rsid w:val="00D76A7E"/>
    <w:rsid w:val="00D772D9"/>
    <w:rsid w:val="00D77AD4"/>
    <w:rsid w:val="00D77FF8"/>
    <w:rsid w:val="00D80011"/>
    <w:rsid w:val="00D80223"/>
    <w:rsid w:val="00D807E7"/>
    <w:rsid w:val="00D8090F"/>
    <w:rsid w:val="00D814F6"/>
    <w:rsid w:val="00D8178D"/>
    <w:rsid w:val="00D81F11"/>
    <w:rsid w:val="00D82BF7"/>
    <w:rsid w:val="00D83213"/>
    <w:rsid w:val="00D8449E"/>
    <w:rsid w:val="00D844B5"/>
    <w:rsid w:val="00D84F58"/>
    <w:rsid w:val="00D856C1"/>
    <w:rsid w:val="00D858C7"/>
    <w:rsid w:val="00D85996"/>
    <w:rsid w:val="00D85FD0"/>
    <w:rsid w:val="00D86501"/>
    <w:rsid w:val="00D86A86"/>
    <w:rsid w:val="00D86C87"/>
    <w:rsid w:val="00D86D84"/>
    <w:rsid w:val="00D870E8"/>
    <w:rsid w:val="00D878B6"/>
    <w:rsid w:val="00D87E9D"/>
    <w:rsid w:val="00D904B2"/>
    <w:rsid w:val="00D9097A"/>
    <w:rsid w:val="00D90A2A"/>
    <w:rsid w:val="00D9124A"/>
    <w:rsid w:val="00D912D3"/>
    <w:rsid w:val="00D91C6A"/>
    <w:rsid w:val="00D926E0"/>
    <w:rsid w:val="00D92CAE"/>
    <w:rsid w:val="00D931F7"/>
    <w:rsid w:val="00D94E8C"/>
    <w:rsid w:val="00D9552E"/>
    <w:rsid w:val="00D95754"/>
    <w:rsid w:val="00D95C12"/>
    <w:rsid w:val="00D97814"/>
    <w:rsid w:val="00DA046A"/>
    <w:rsid w:val="00DA0764"/>
    <w:rsid w:val="00DA0D72"/>
    <w:rsid w:val="00DA1022"/>
    <w:rsid w:val="00DA149F"/>
    <w:rsid w:val="00DA2190"/>
    <w:rsid w:val="00DA2FC2"/>
    <w:rsid w:val="00DA3CD4"/>
    <w:rsid w:val="00DA3DC1"/>
    <w:rsid w:val="00DA42A5"/>
    <w:rsid w:val="00DA43C8"/>
    <w:rsid w:val="00DA4552"/>
    <w:rsid w:val="00DA464B"/>
    <w:rsid w:val="00DA46A0"/>
    <w:rsid w:val="00DA4931"/>
    <w:rsid w:val="00DA4A81"/>
    <w:rsid w:val="00DA4B2B"/>
    <w:rsid w:val="00DA5277"/>
    <w:rsid w:val="00DA565E"/>
    <w:rsid w:val="00DA5787"/>
    <w:rsid w:val="00DA5885"/>
    <w:rsid w:val="00DA595A"/>
    <w:rsid w:val="00DA5A8B"/>
    <w:rsid w:val="00DA65CC"/>
    <w:rsid w:val="00DA6CAB"/>
    <w:rsid w:val="00DA736D"/>
    <w:rsid w:val="00DA7512"/>
    <w:rsid w:val="00DA78C0"/>
    <w:rsid w:val="00DA7FFD"/>
    <w:rsid w:val="00DB04D3"/>
    <w:rsid w:val="00DB17F1"/>
    <w:rsid w:val="00DB1C3F"/>
    <w:rsid w:val="00DB32C6"/>
    <w:rsid w:val="00DB396B"/>
    <w:rsid w:val="00DB3EA4"/>
    <w:rsid w:val="00DB435F"/>
    <w:rsid w:val="00DB45FA"/>
    <w:rsid w:val="00DB4878"/>
    <w:rsid w:val="00DB56DC"/>
    <w:rsid w:val="00DB5AC1"/>
    <w:rsid w:val="00DB6797"/>
    <w:rsid w:val="00DB754B"/>
    <w:rsid w:val="00DB79AE"/>
    <w:rsid w:val="00DB7DFB"/>
    <w:rsid w:val="00DC072C"/>
    <w:rsid w:val="00DC08AC"/>
    <w:rsid w:val="00DC1B7D"/>
    <w:rsid w:val="00DC1B7E"/>
    <w:rsid w:val="00DC1C28"/>
    <w:rsid w:val="00DC22E2"/>
    <w:rsid w:val="00DC238D"/>
    <w:rsid w:val="00DC367E"/>
    <w:rsid w:val="00DC522E"/>
    <w:rsid w:val="00DC528F"/>
    <w:rsid w:val="00DC5BDB"/>
    <w:rsid w:val="00DC5EDB"/>
    <w:rsid w:val="00DC6FBD"/>
    <w:rsid w:val="00DC7004"/>
    <w:rsid w:val="00DC748B"/>
    <w:rsid w:val="00DC7D5C"/>
    <w:rsid w:val="00DC7F24"/>
    <w:rsid w:val="00DD0574"/>
    <w:rsid w:val="00DD0652"/>
    <w:rsid w:val="00DD0969"/>
    <w:rsid w:val="00DD10BC"/>
    <w:rsid w:val="00DD1863"/>
    <w:rsid w:val="00DD1963"/>
    <w:rsid w:val="00DD2D60"/>
    <w:rsid w:val="00DD2F53"/>
    <w:rsid w:val="00DD3339"/>
    <w:rsid w:val="00DD3EFB"/>
    <w:rsid w:val="00DD4073"/>
    <w:rsid w:val="00DD53A0"/>
    <w:rsid w:val="00DD5488"/>
    <w:rsid w:val="00DD56EA"/>
    <w:rsid w:val="00DD594E"/>
    <w:rsid w:val="00DD6C1E"/>
    <w:rsid w:val="00DD6E82"/>
    <w:rsid w:val="00DD72AA"/>
    <w:rsid w:val="00DD7AC3"/>
    <w:rsid w:val="00DD7CF5"/>
    <w:rsid w:val="00DD7E97"/>
    <w:rsid w:val="00DE0AA8"/>
    <w:rsid w:val="00DE0C13"/>
    <w:rsid w:val="00DE0CE1"/>
    <w:rsid w:val="00DE28E9"/>
    <w:rsid w:val="00DE2F90"/>
    <w:rsid w:val="00DE3561"/>
    <w:rsid w:val="00DE387C"/>
    <w:rsid w:val="00DE40D5"/>
    <w:rsid w:val="00DE462A"/>
    <w:rsid w:val="00DE4844"/>
    <w:rsid w:val="00DE49CD"/>
    <w:rsid w:val="00DE4B07"/>
    <w:rsid w:val="00DE584D"/>
    <w:rsid w:val="00DE59E1"/>
    <w:rsid w:val="00DE5AF2"/>
    <w:rsid w:val="00DE6092"/>
    <w:rsid w:val="00DE7004"/>
    <w:rsid w:val="00DE748C"/>
    <w:rsid w:val="00DE7D8D"/>
    <w:rsid w:val="00DF0391"/>
    <w:rsid w:val="00DF0618"/>
    <w:rsid w:val="00DF0846"/>
    <w:rsid w:val="00DF0897"/>
    <w:rsid w:val="00DF128D"/>
    <w:rsid w:val="00DF1714"/>
    <w:rsid w:val="00DF1873"/>
    <w:rsid w:val="00DF1DB6"/>
    <w:rsid w:val="00DF3AFD"/>
    <w:rsid w:val="00DF3DE9"/>
    <w:rsid w:val="00DF4518"/>
    <w:rsid w:val="00DF48C8"/>
    <w:rsid w:val="00DF59E1"/>
    <w:rsid w:val="00DF62B0"/>
    <w:rsid w:val="00DF6C63"/>
    <w:rsid w:val="00DF769C"/>
    <w:rsid w:val="00DF7CF9"/>
    <w:rsid w:val="00E00840"/>
    <w:rsid w:val="00E00F61"/>
    <w:rsid w:val="00E010AB"/>
    <w:rsid w:val="00E0185B"/>
    <w:rsid w:val="00E024F9"/>
    <w:rsid w:val="00E02892"/>
    <w:rsid w:val="00E029DE"/>
    <w:rsid w:val="00E02B2D"/>
    <w:rsid w:val="00E03026"/>
    <w:rsid w:val="00E034FF"/>
    <w:rsid w:val="00E03677"/>
    <w:rsid w:val="00E03A0E"/>
    <w:rsid w:val="00E03BDC"/>
    <w:rsid w:val="00E045D6"/>
    <w:rsid w:val="00E04E9E"/>
    <w:rsid w:val="00E050D8"/>
    <w:rsid w:val="00E0723F"/>
    <w:rsid w:val="00E072BC"/>
    <w:rsid w:val="00E07AD1"/>
    <w:rsid w:val="00E07FF4"/>
    <w:rsid w:val="00E112E9"/>
    <w:rsid w:val="00E11385"/>
    <w:rsid w:val="00E118DA"/>
    <w:rsid w:val="00E118E4"/>
    <w:rsid w:val="00E11CE9"/>
    <w:rsid w:val="00E11EC7"/>
    <w:rsid w:val="00E126A6"/>
    <w:rsid w:val="00E128E0"/>
    <w:rsid w:val="00E13427"/>
    <w:rsid w:val="00E1369D"/>
    <w:rsid w:val="00E13947"/>
    <w:rsid w:val="00E13C46"/>
    <w:rsid w:val="00E14041"/>
    <w:rsid w:val="00E14B79"/>
    <w:rsid w:val="00E14E5F"/>
    <w:rsid w:val="00E15FF1"/>
    <w:rsid w:val="00E16276"/>
    <w:rsid w:val="00E163F4"/>
    <w:rsid w:val="00E1652D"/>
    <w:rsid w:val="00E17041"/>
    <w:rsid w:val="00E170B7"/>
    <w:rsid w:val="00E17150"/>
    <w:rsid w:val="00E176A8"/>
    <w:rsid w:val="00E17B6A"/>
    <w:rsid w:val="00E20127"/>
    <w:rsid w:val="00E20C59"/>
    <w:rsid w:val="00E20D16"/>
    <w:rsid w:val="00E21599"/>
    <w:rsid w:val="00E217E4"/>
    <w:rsid w:val="00E21F21"/>
    <w:rsid w:val="00E22CEB"/>
    <w:rsid w:val="00E22F72"/>
    <w:rsid w:val="00E2316E"/>
    <w:rsid w:val="00E2339C"/>
    <w:rsid w:val="00E236F6"/>
    <w:rsid w:val="00E23B76"/>
    <w:rsid w:val="00E23E70"/>
    <w:rsid w:val="00E24840"/>
    <w:rsid w:val="00E249FA"/>
    <w:rsid w:val="00E24A79"/>
    <w:rsid w:val="00E2520E"/>
    <w:rsid w:val="00E2531C"/>
    <w:rsid w:val="00E25ABE"/>
    <w:rsid w:val="00E25CDE"/>
    <w:rsid w:val="00E25E73"/>
    <w:rsid w:val="00E26FBE"/>
    <w:rsid w:val="00E2723F"/>
    <w:rsid w:val="00E2747E"/>
    <w:rsid w:val="00E27774"/>
    <w:rsid w:val="00E307BA"/>
    <w:rsid w:val="00E30978"/>
    <w:rsid w:val="00E31266"/>
    <w:rsid w:val="00E31C2E"/>
    <w:rsid w:val="00E3210A"/>
    <w:rsid w:val="00E32DE7"/>
    <w:rsid w:val="00E339F4"/>
    <w:rsid w:val="00E33ABD"/>
    <w:rsid w:val="00E33E7D"/>
    <w:rsid w:val="00E3409B"/>
    <w:rsid w:val="00E348B1"/>
    <w:rsid w:val="00E349CE"/>
    <w:rsid w:val="00E34CB4"/>
    <w:rsid w:val="00E351F3"/>
    <w:rsid w:val="00E35832"/>
    <w:rsid w:val="00E35E05"/>
    <w:rsid w:val="00E35E4D"/>
    <w:rsid w:val="00E372CC"/>
    <w:rsid w:val="00E375B4"/>
    <w:rsid w:val="00E37BAF"/>
    <w:rsid w:val="00E37EF7"/>
    <w:rsid w:val="00E403F2"/>
    <w:rsid w:val="00E40411"/>
    <w:rsid w:val="00E4049F"/>
    <w:rsid w:val="00E40E0E"/>
    <w:rsid w:val="00E40F83"/>
    <w:rsid w:val="00E41362"/>
    <w:rsid w:val="00E414DC"/>
    <w:rsid w:val="00E4267C"/>
    <w:rsid w:val="00E42E0E"/>
    <w:rsid w:val="00E435CC"/>
    <w:rsid w:val="00E44290"/>
    <w:rsid w:val="00E44EDB"/>
    <w:rsid w:val="00E450A6"/>
    <w:rsid w:val="00E453E5"/>
    <w:rsid w:val="00E456FB"/>
    <w:rsid w:val="00E45837"/>
    <w:rsid w:val="00E45A80"/>
    <w:rsid w:val="00E4626E"/>
    <w:rsid w:val="00E46756"/>
    <w:rsid w:val="00E473A1"/>
    <w:rsid w:val="00E47B32"/>
    <w:rsid w:val="00E47E46"/>
    <w:rsid w:val="00E47FDF"/>
    <w:rsid w:val="00E509AA"/>
    <w:rsid w:val="00E5108A"/>
    <w:rsid w:val="00E51684"/>
    <w:rsid w:val="00E517CD"/>
    <w:rsid w:val="00E52544"/>
    <w:rsid w:val="00E52FDD"/>
    <w:rsid w:val="00E53049"/>
    <w:rsid w:val="00E53094"/>
    <w:rsid w:val="00E53231"/>
    <w:rsid w:val="00E53406"/>
    <w:rsid w:val="00E541D1"/>
    <w:rsid w:val="00E544C1"/>
    <w:rsid w:val="00E5454F"/>
    <w:rsid w:val="00E54643"/>
    <w:rsid w:val="00E548CB"/>
    <w:rsid w:val="00E54C87"/>
    <w:rsid w:val="00E54ED7"/>
    <w:rsid w:val="00E54F8D"/>
    <w:rsid w:val="00E55342"/>
    <w:rsid w:val="00E55F21"/>
    <w:rsid w:val="00E5749C"/>
    <w:rsid w:val="00E574BE"/>
    <w:rsid w:val="00E601AA"/>
    <w:rsid w:val="00E60CAD"/>
    <w:rsid w:val="00E6101F"/>
    <w:rsid w:val="00E61260"/>
    <w:rsid w:val="00E61586"/>
    <w:rsid w:val="00E61929"/>
    <w:rsid w:val="00E61DF3"/>
    <w:rsid w:val="00E62E60"/>
    <w:rsid w:val="00E632B5"/>
    <w:rsid w:val="00E6339E"/>
    <w:rsid w:val="00E63F7F"/>
    <w:rsid w:val="00E642FE"/>
    <w:rsid w:val="00E64C5D"/>
    <w:rsid w:val="00E64D57"/>
    <w:rsid w:val="00E64DB0"/>
    <w:rsid w:val="00E65008"/>
    <w:rsid w:val="00E664B7"/>
    <w:rsid w:val="00E66A76"/>
    <w:rsid w:val="00E67382"/>
    <w:rsid w:val="00E67ECD"/>
    <w:rsid w:val="00E67EFF"/>
    <w:rsid w:val="00E708B1"/>
    <w:rsid w:val="00E70B4A"/>
    <w:rsid w:val="00E712A4"/>
    <w:rsid w:val="00E71D4E"/>
    <w:rsid w:val="00E724AB"/>
    <w:rsid w:val="00E72B96"/>
    <w:rsid w:val="00E72D55"/>
    <w:rsid w:val="00E73CDB"/>
    <w:rsid w:val="00E73FF1"/>
    <w:rsid w:val="00E74088"/>
    <w:rsid w:val="00E742E6"/>
    <w:rsid w:val="00E74B13"/>
    <w:rsid w:val="00E75309"/>
    <w:rsid w:val="00E76379"/>
    <w:rsid w:val="00E773BB"/>
    <w:rsid w:val="00E774D4"/>
    <w:rsid w:val="00E77978"/>
    <w:rsid w:val="00E801B7"/>
    <w:rsid w:val="00E802B0"/>
    <w:rsid w:val="00E811DB"/>
    <w:rsid w:val="00E82407"/>
    <w:rsid w:val="00E82C2E"/>
    <w:rsid w:val="00E8308A"/>
    <w:rsid w:val="00E831D2"/>
    <w:rsid w:val="00E834DD"/>
    <w:rsid w:val="00E8399A"/>
    <w:rsid w:val="00E83D3B"/>
    <w:rsid w:val="00E8446A"/>
    <w:rsid w:val="00E84692"/>
    <w:rsid w:val="00E84DA9"/>
    <w:rsid w:val="00E84F33"/>
    <w:rsid w:val="00E852BA"/>
    <w:rsid w:val="00E85674"/>
    <w:rsid w:val="00E85892"/>
    <w:rsid w:val="00E85FEB"/>
    <w:rsid w:val="00E86D77"/>
    <w:rsid w:val="00E870BF"/>
    <w:rsid w:val="00E90897"/>
    <w:rsid w:val="00E9111B"/>
    <w:rsid w:val="00E91623"/>
    <w:rsid w:val="00E91B7A"/>
    <w:rsid w:val="00E922D0"/>
    <w:rsid w:val="00E93D4A"/>
    <w:rsid w:val="00E94BEA"/>
    <w:rsid w:val="00E96206"/>
    <w:rsid w:val="00E963FE"/>
    <w:rsid w:val="00E96497"/>
    <w:rsid w:val="00E96AB3"/>
    <w:rsid w:val="00E977A3"/>
    <w:rsid w:val="00E979A9"/>
    <w:rsid w:val="00EA013D"/>
    <w:rsid w:val="00EA030F"/>
    <w:rsid w:val="00EA0E06"/>
    <w:rsid w:val="00EA1299"/>
    <w:rsid w:val="00EA1539"/>
    <w:rsid w:val="00EA1609"/>
    <w:rsid w:val="00EA1E9C"/>
    <w:rsid w:val="00EA218A"/>
    <w:rsid w:val="00EA25AD"/>
    <w:rsid w:val="00EA2EBC"/>
    <w:rsid w:val="00EA30E1"/>
    <w:rsid w:val="00EA3135"/>
    <w:rsid w:val="00EA3153"/>
    <w:rsid w:val="00EA3D01"/>
    <w:rsid w:val="00EA3E0C"/>
    <w:rsid w:val="00EA4162"/>
    <w:rsid w:val="00EA435D"/>
    <w:rsid w:val="00EA56C6"/>
    <w:rsid w:val="00EA5EB2"/>
    <w:rsid w:val="00EA5F9E"/>
    <w:rsid w:val="00EA6F97"/>
    <w:rsid w:val="00EA79E3"/>
    <w:rsid w:val="00EA7FD9"/>
    <w:rsid w:val="00EB06AF"/>
    <w:rsid w:val="00EB0730"/>
    <w:rsid w:val="00EB0B83"/>
    <w:rsid w:val="00EB0D02"/>
    <w:rsid w:val="00EB1F70"/>
    <w:rsid w:val="00EB2B20"/>
    <w:rsid w:val="00EB33CE"/>
    <w:rsid w:val="00EB3ADE"/>
    <w:rsid w:val="00EB4273"/>
    <w:rsid w:val="00EB54BB"/>
    <w:rsid w:val="00EB55D3"/>
    <w:rsid w:val="00EB5CDF"/>
    <w:rsid w:val="00EB5CFF"/>
    <w:rsid w:val="00EB63D9"/>
    <w:rsid w:val="00EB70D1"/>
    <w:rsid w:val="00EB7884"/>
    <w:rsid w:val="00EB7B85"/>
    <w:rsid w:val="00EB7C7A"/>
    <w:rsid w:val="00EC05FC"/>
    <w:rsid w:val="00EC0827"/>
    <w:rsid w:val="00EC0913"/>
    <w:rsid w:val="00EC1191"/>
    <w:rsid w:val="00EC13F6"/>
    <w:rsid w:val="00EC1855"/>
    <w:rsid w:val="00EC1C77"/>
    <w:rsid w:val="00EC1D32"/>
    <w:rsid w:val="00EC30A7"/>
    <w:rsid w:val="00EC3B53"/>
    <w:rsid w:val="00EC465C"/>
    <w:rsid w:val="00EC47C4"/>
    <w:rsid w:val="00EC4DCA"/>
    <w:rsid w:val="00EC4E80"/>
    <w:rsid w:val="00EC4F00"/>
    <w:rsid w:val="00EC656C"/>
    <w:rsid w:val="00EC71C3"/>
    <w:rsid w:val="00EC72E0"/>
    <w:rsid w:val="00EC72FB"/>
    <w:rsid w:val="00EC7F72"/>
    <w:rsid w:val="00ED0D88"/>
    <w:rsid w:val="00ED11A0"/>
    <w:rsid w:val="00ED197C"/>
    <w:rsid w:val="00ED19EB"/>
    <w:rsid w:val="00ED2B54"/>
    <w:rsid w:val="00ED31AE"/>
    <w:rsid w:val="00ED32BC"/>
    <w:rsid w:val="00ED340E"/>
    <w:rsid w:val="00ED39E6"/>
    <w:rsid w:val="00ED3CD6"/>
    <w:rsid w:val="00ED3CE4"/>
    <w:rsid w:val="00ED3DBB"/>
    <w:rsid w:val="00ED40B6"/>
    <w:rsid w:val="00ED51FF"/>
    <w:rsid w:val="00ED5CE6"/>
    <w:rsid w:val="00ED608F"/>
    <w:rsid w:val="00ED61FB"/>
    <w:rsid w:val="00ED652D"/>
    <w:rsid w:val="00ED6B24"/>
    <w:rsid w:val="00ED7279"/>
    <w:rsid w:val="00ED757A"/>
    <w:rsid w:val="00ED761B"/>
    <w:rsid w:val="00ED7949"/>
    <w:rsid w:val="00ED7A06"/>
    <w:rsid w:val="00EE0FF8"/>
    <w:rsid w:val="00EE18A2"/>
    <w:rsid w:val="00EE1A8D"/>
    <w:rsid w:val="00EE1C58"/>
    <w:rsid w:val="00EE1F3C"/>
    <w:rsid w:val="00EE2419"/>
    <w:rsid w:val="00EE2872"/>
    <w:rsid w:val="00EE28E3"/>
    <w:rsid w:val="00EE2B6C"/>
    <w:rsid w:val="00EE2E62"/>
    <w:rsid w:val="00EE307D"/>
    <w:rsid w:val="00EE3A9D"/>
    <w:rsid w:val="00EE3E95"/>
    <w:rsid w:val="00EE40A6"/>
    <w:rsid w:val="00EE42A9"/>
    <w:rsid w:val="00EE431A"/>
    <w:rsid w:val="00EE5446"/>
    <w:rsid w:val="00EE57DF"/>
    <w:rsid w:val="00EE67C1"/>
    <w:rsid w:val="00EE6AD7"/>
    <w:rsid w:val="00EE7E50"/>
    <w:rsid w:val="00EE7FB6"/>
    <w:rsid w:val="00EF06C5"/>
    <w:rsid w:val="00EF1109"/>
    <w:rsid w:val="00EF17E2"/>
    <w:rsid w:val="00EF1A59"/>
    <w:rsid w:val="00EF1CC9"/>
    <w:rsid w:val="00EF27C7"/>
    <w:rsid w:val="00EF297B"/>
    <w:rsid w:val="00EF3997"/>
    <w:rsid w:val="00EF3AE8"/>
    <w:rsid w:val="00EF5D82"/>
    <w:rsid w:val="00EF5DE1"/>
    <w:rsid w:val="00EF6A54"/>
    <w:rsid w:val="00EF6AE2"/>
    <w:rsid w:val="00EF6B84"/>
    <w:rsid w:val="00EF6FF2"/>
    <w:rsid w:val="00EF70B4"/>
    <w:rsid w:val="00EF7A0F"/>
    <w:rsid w:val="00F00454"/>
    <w:rsid w:val="00F008E2"/>
    <w:rsid w:val="00F00C01"/>
    <w:rsid w:val="00F022FF"/>
    <w:rsid w:val="00F02746"/>
    <w:rsid w:val="00F03341"/>
    <w:rsid w:val="00F03677"/>
    <w:rsid w:val="00F04446"/>
    <w:rsid w:val="00F04453"/>
    <w:rsid w:val="00F05173"/>
    <w:rsid w:val="00F0580D"/>
    <w:rsid w:val="00F071C0"/>
    <w:rsid w:val="00F071EC"/>
    <w:rsid w:val="00F07488"/>
    <w:rsid w:val="00F0748E"/>
    <w:rsid w:val="00F0773C"/>
    <w:rsid w:val="00F07EE3"/>
    <w:rsid w:val="00F07F9C"/>
    <w:rsid w:val="00F102DC"/>
    <w:rsid w:val="00F10A12"/>
    <w:rsid w:val="00F10A5C"/>
    <w:rsid w:val="00F10A78"/>
    <w:rsid w:val="00F10E4E"/>
    <w:rsid w:val="00F110BB"/>
    <w:rsid w:val="00F11200"/>
    <w:rsid w:val="00F113E1"/>
    <w:rsid w:val="00F1180C"/>
    <w:rsid w:val="00F133E6"/>
    <w:rsid w:val="00F138D2"/>
    <w:rsid w:val="00F13964"/>
    <w:rsid w:val="00F13A84"/>
    <w:rsid w:val="00F13E66"/>
    <w:rsid w:val="00F14130"/>
    <w:rsid w:val="00F15A13"/>
    <w:rsid w:val="00F16E45"/>
    <w:rsid w:val="00F16F3B"/>
    <w:rsid w:val="00F1757F"/>
    <w:rsid w:val="00F17689"/>
    <w:rsid w:val="00F201CE"/>
    <w:rsid w:val="00F202D6"/>
    <w:rsid w:val="00F20531"/>
    <w:rsid w:val="00F207BB"/>
    <w:rsid w:val="00F20AD8"/>
    <w:rsid w:val="00F210A0"/>
    <w:rsid w:val="00F21ADB"/>
    <w:rsid w:val="00F2216D"/>
    <w:rsid w:val="00F23083"/>
    <w:rsid w:val="00F237A9"/>
    <w:rsid w:val="00F23C26"/>
    <w:rsid w:val="00F23D33"/>
    <w:rsid w:val="00F23DD5"/>
    <w:rsid w:val="00F2418E"/>
    <w:rsid w:val="00F247D6"/>
    <w:rsid w:val="00F24A71"/>
    <w:rsid w:val="00F24A8B"/>
    <w:rsid w:val="00F25506"/>
    <w:rsid w:val="00F2580E"/>
    <w:rsid w:val="00F25832"/>
    <w:rsid w:val="00F25A33"/>
    <w:rsid w:val="00F26EE9"/>
    <w:rsid w:val="00F27132"/>
    <w:rsid w:val="00F278CC"/>
    <w:rsid w:val="00F27B2D"/>
    <w:rsid w:val="00F27C3C"/>
    <w:rsid w:val="00F27C9D"/>
    <w:rsid w:val="00F30789"/>
    <w:rsid w:val="00F3130E"/>
    <w:rsid w:val="00F317F7"/>
    <w:rsid w:val="00F32668"/>
    <w:rsid w:val="00F32E8A"/>
    <w:rsid w:val="00F3317C"/>
    <w:rsid w:val="00F335E9"/>
    <w:rsid w:val="00F335FB"/>
    <w:rsid w:val="00F33C39"/>
    <w:rsid w:val="00F33C69"/>
    <w:rsid w:val="00F352A3"/>
    <w:rsid w:val="00F36CAB"/>
    <w:rsid w:val="00F378D8"/>
    <w:rsid w:val="00F37DAA"/>
    <w:rsid w:val="00F4048B"/>
    <w:rsid w:val="00F4061D"/>
    <w:rsid w:val="00F40A38"/>
    <w:rsid w:val="00F41BCE"/>
    <w:rsid w:val="00F41F77"/>
    <w:rsid w:val="00F427BD"/>
    <w:rsid w:val="00F42A4B"/>
    <w:rsid w:val="00F42FB0"/>
    <w:rsid w:val="00F43110"/>
    <w:rsid w:val="00F43302"/>
    <w:rsid w:val="00F43A69"/>
    <w:rsid w:val="00F44629"/>
    <w:rsid w:val="00F4466E"/>
    <w:rsid w:val="00F4475A"/>
    <w:rsid w:val="00F460E6"/>
    <w:rsid w:val="00F466A4"/>
    <w:rsid w:val="00F46B6F"/>
    <w:rsid w:val="00F470F5"/>
    <w:rsid w:val="00F4750C"/>
    <w:rsid w:val="00F47A42"/>
    <w:rsid w:val="00F47B6B"/>
    <w:rsid w:val="00F47B70"/>
    <w:rsid w:val="00F47EB8"/>
    <w:rsid w:val="00F50E8B"/>
    <w:rsid w:val="00F50EAC"/>
    <w:rsid w:val="00F519D5"/>
    <w:rsid w:val="00F520DD"/>
    <w:rsid w:val="00F52D9D"/>
    <w:rsid w:val="00F53083"/>
    <w:rsid w:val="00F53098"/>
    <w:rsid w:val="00F53907"/>
    <w:rsid w:val="00F5394B"/>
    <w:rsid w:val="00F539CC"/>
    <w:rsid w:val="00F547B7"/>
    <w:rsid w:val="00F5492F"/>
    <w:rsid w:val="00F55ABE"/>
    <w:rsid w:val="00F56761"/>
    <w:rsid w:val="00F56A98"/>
    <w:rsid w:val="00F57212"/>
    <w:rsid w:val="00F5736D"/>
    <w:rsid w:val="00F573C2"/>
    <w:rsid w:val="00F6014C"/>
    <w:rsid w:val="00F603E0"/>
    <w:rsid w:val="00F60513"/>
    <w:rsid w:val="00F6087D"/>
    <w:rsid w:val="00F61635"/>
    <w:rsid w:val="00F61703"/>
    <w:rsid w:val="00F61B07"/>
    <w:rsid w:val="00F61DE7"/>
    <w:rsid w:val="00F62748"/>
    <w:rsid w:val="00F6276B"/>
    <w:rsid w:val="00F62828"/>
    <w:rsid w:val="00F62A92"/>
    <w:rsid w:val="00F62AC0"/>
    <w:rsid w:val="00F62BE7"/>
    <w:rsid w:val="00F62EDF"/>
    <w:rsid w:val="00F644AD"/>
    <w:rsid w:val="00F64646"/>
    <w:rsid w:val="00F64D91"/>
    <w:rsid w:val="00F64F91"/>
    <w:rsid w:val="00F65A14"/>
    <w:rsid w:val="00F669D9"/>
    <w:rsid w:val="00F672F2"/>
    <w:rsid w:val="00F67FB1"/>
    <w:rsid w:val="00F7053C"/>
    <w:rsid w:val="00F70EEE"/>
    <w:rsid w:val="00F70F8B"/>
    <w:rsid w:val="00F721F0"/>
    <w:rsid w:val="00F7246F"/>
    <w:rsid w:val="00F72E84"/>
    <w:rsid w:val="00F7359E"/>
    <w:rsid w:val="00F74125"/>
    <w:rsid w:val="00F74C31"/>
    <w:rsid w:val="00F74EF9"/>
    <w:rsid w:val="00F74FD0"/>
    <w:rsid w:val="00F7582F"/>
    <w:rsid w:val="00F75B33"/>
    <w:rsid w:val="00F7605A"/>
    <w:rsid w:val="00F76A80"/>
    <w:rsid w:val="00F771E4"/>
    <w:rsid w:val="00F77D03"/>
    <w:rsid w:val="00F77E6F"/>
    <w:rsid w:val="00F80155"/>
    <w:rsid w:val="00F804AD"/>
    <w:rsid w:val="00F809E0"/>
    <w:rsid w:val="00F80ED1"/>
    <w:rsid w:val="00F812EF"/>
    <w:rsid w:val="00F8189D"/>
    <w:rsid w:val="00F81CC9"/>
    <w:rsid w:val="00F81E64"/>
    <w:rsid w:val="00F82028"/>
    <w:rsid w:val="00F821DB"/>
    <w:rsid w:val="00F8276F"/>
    <w:rsid w:val="00F83013"/>
    <w:rsid w:val="00F84718"/>
    <w:rsid w:val="00F852C4"/>
    <w:rsid w:val="00F85432"/>
    <w:rsid w:val="00F85F89"/>
    <w:rsid w:val="00F860E0"/>
    <w:rsid w:val="00F867A7"/>
    <w:rsid w:val="00F86B87"/>
    <w:rsid w:val="00F8788D"/>
    <w:rsid w:val="00F909C0"/>
    <w:rsid w:val="00F91BAD"/>
    <w:rsid w:val="00F9220D"/>
    <w:rsid w:val="00F931FA"/>
    <w:rsid w:val="00F944D8"/>
    <w:rsid w:val="00F9468A"/>
    <w:rsid w:val="00F9513C"/>
    <w:rsid w:val="00F9549B"/>
    <w:rsid w:val="00F956EB"/>
    <w:rsid w:val="00F95E67"/>
    <w:rsid w:val="00F962CF"/>
    <w:rsid w:val="00F9763D"/>
    <w:rsid w:val="00F97A7B"/>
    <w:rsid w:val="00F97E8A"/>
    <w:rsid w:val="00FA0133"/>
    <w:rsid w:val="00FA1A58"/>
    <w:rsid w:val="00FA1B2D"/>
    <w:rsid w:val="00FA1DB1"/>
    <w:rsid w:val="00FA1E3E"/>
    <w:rsid w:val="00FA2FB3"/>
    <w:rsid w:val="00FA390A"/>
    <w:rsid w:val="00FA41B6"/>
    <w:rsid w:val="00FA4D04"/>
    <w:rsid w:val="00FA4D3E"/>
    <w:rsid w:val="00FA5B3E"/>
    <w:rsid w:val="00FA6094"/>
    <w:rsid w:val="00FA6412"/>
    <w:rsid w:val="00FA66BC"/>
    <w:rsid w:val="00FA7622"/>
    <w:rsid w:val="00FA7681"/>
    <w:rsid w:val="00FA781E"/>
    <w:rsid w:val="00FB0A01"/>
    <w:rsid w:val="00FB0CA6"/>
    <w:rsid w:val="00FB16FC"/>
    <w:rsid w:val="00FB19B2"/>
    <w:rsid w:val="00FB22C7"/>
    <w:rsid w:val="00FB2D16"/>
    <w:rsid w:val="00FB4684"/>
    <w:rsid w:val="00FB50B2"/>
    <w:rsid w:val="00FB5240"/>
    <w:rsid w:val="00FB6AA9"/>
    <w:rsid w:val="00FB6B5C"/>
    <w:rsid w:val="00FB6ECA"/>
    <w:rsid w:val="00FB6F9D"/>
    <w:rsid w:val="00FB7718"/>
    <w:rsid w:val="00FB77A7"/>
    <w:rsid w:val="00FC0489"/>
    <w:rsid w:val="00FC06D6"/>
    <w:rsid w:val="00FC07DA"/>
    <w:rsid w:val="00FC0A5D"/>
    <w:rsid w:val="00FC1896"/>
    <w:rsid w:val="00FC1EE7"/>
    <w:rsid w:val="00FC1F97"/>
    <w:rsid w:val="00FC212B"/>
    <w:rsid w:val="00FC2175"/>
    <w:rsid w:val="00FC26E2"/>
    <w:rsid w:val="00FC2852"/>
    <w:rsid w:val="00FC2BEF"/>
    <w:rsid w:val="00FC2F21"/>
    <w:rsid w:val="00FC3443"/>
    <w:rsid w:val="00FC425B"/>
    <w:rsid w:val="00FC425D"/>
    <w:rsid w:val="00FC44F5"/>
    <w:rsid w:val="00FC47CE"/>
    <w:rsid w:val="00FC50B8"/>
    <w:rsid w:val="00FC54B5"/>
    <w:rsid w:val="00FC55AD"/>
    <w:rsid w:val="00FC5796"/>
    <w:rsid w:val="00FC5CAE"/>
    <w:rsid w:val="00FC6604"/>
    <w:rsid w:val="00FC78DC"/>
    <w:rsid w:val="00FD0186"/>
    <w:rsid w:val="00FD01E3"/>
    <w:rsid w:val="00FD0AC3"/>
    <w:rsid w:val="00FD0E66"/>
    <w:rsid w:val="00FD1125"/>
    <w:rsid w:val="00FD128B"/>
    <w:rsid w:val="00FD24F0"/>
    <w:rsid w:val="00FD27E4"/>
    <w:rsid w:val="00FD287A"/>
    <w:rsid w:val="00FD2BBA"/>
    <w:rsid w:val="00FD2F88"/>
    <w:rsid w:val="00FD30D4"/>
    <w:rsid w:val="00FD3530"/>
    <w:rsid w:val="00FD5748"/>
    <w:rsid w:val="00FD594C"/>
    <w:rsid w:val="00FD5A83"/>
    <w:rsid w:val="00FD6189"/>
    <w:rsid w:val="00FD6F85"/>
    <w:rsid w:val="00FD72F7"/>
    <w:rsid w:val="00FD7987"/>
    <w:rsid w:val="00FD7C20"/>
    <w:rsid w:val="00FD7CC3"/>
    <w:rsid w:val="00FE00AC"/>
    <w:rsid w:val="00FE0434"/>
    <w:rsid w:val="00FE0562"/>
    <w:rsid w:val="00FE2961"/>
    <w:rsid w:val="00FE340C"/>
    <w:rsid w:val="00FE37A2"/>
    <w:rsid w:val="00FE3884"/>
    <w:rsid w:val="00FE3EFE"/>
    <w:rsid w:val="00FE3F36"/>
    <w:rsid w:val="00FE45CE"/>
    <w:rsid w:val="00FE4E13"/>
    <w:rsid w:val="00FE58AA"/>
    <w:rsid w:val="00FE5C27"/>
    <w:rsid w:val="00FE5FA6"/>
    <w:rsid w:val="00FE616D"/>
    <w:rsid w:val="00FE6457"/>
    <w:rsid w:val="00FE68DE"/>
    <w:rsid w:val="00FE71BC"/>
    <w:rsid w:val="00FE7DAB"/>
    <w:rsid w:val="00FF0CAB"/>
    <w:rsid w:val="00FF0F25"/>
    <w:rsid w:val="00FF1536"/>
    <w:rsid w:val="00FF1D80"/>
    <w:rsid w:val="00FF222B"/>
    <w:rsid w:val="00FF2B4A"/>
    <w:rsid w:val="00FF2C6D"/>
    <w:rsid w:val="00FF2F93"/>
    <w:rsid w:val="00FF3506"/>
    <w:rsid w:val="00FF393E"/>
    <w:rsid w:val="00FF399D"/>
    <w:rsid w:val="00FF4397"/>
    <w:rsid w:val="00FF485F"/>
    <w:rsid w:val="00FF4A77"/>
    <w:rsid w:val="00FF55CE"/>
    <w:rsid w:val="00FF58EF"/>
    <w:rsid w:val="00FF5968"/>
    <w:rsid w:val="00FF5A42"/>
    <w:rsid w:val="00FF6069"/>
    <w:rsid w:val="00FF6D00"/>
    <w:rsid w:val="00FF7225"/>
    <w:rsid w:val="00FF77D2"/>
    <w:rsid w:val="00FF7C83"/>
    <w:rsid w:val="00FF7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07EB"/>
  <w15:chartTrackingRefBased/>
  <w15:docId w15:val="{697676F8-F62F-48D1-85AF-3143B004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6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F6A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6A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A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A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A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A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A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A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6A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F6A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A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A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A54"/>
    <w:rPr>
      <w:rFonts w:eastAsiaTheme="majorEastAsia" w:cstheme="majorBidi"/>
      <w:color w:val="272727" w:themeColor="text1" w:themeTint="D8"/>
    </w:rPr>
  </w:style>
  <w:style w:type="paragraph" w:styleId="Title">
    <w:name w:val="Title"/>
    <w:basedOn w:val="Normal"/>
    <w:next w:val="Normal"/>
    <w:link w:val="TitleChar"/>
    <w:uiPriority w:val="10"/>
    <w:qFormat/>
    <w:rsid w:val="00EF6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A54"/>
    <w:pPr>
      <w:spacing w:before="160"/>
      <w:jc w:val="center"/>
    </w:pPr>
    <w:rPr>
      <w:i/>
      <w:iCs/>
      <w:color w:val="404040" w:themeColor="text1" w:themeTint="BF"/>
    </w:rPr>
  </w:style>
  <w:style w:type="character" w:customStyle="1" w:styleId="QuoteChar">
    <w:name w:val="Quote Char"/>
    <w:basedOn w:val="DefaultParagraphFont"/>
    <w:link w:val="Quote"/>
    <w:uiPriority w:val="29"/>
    <w:rsid w:val="00EF6A54"/>
    <w:rPr>
      <w:i/>
      <w:iCs/>
      <w:color w:val="404040" w:themeColor="text1" w:themeTint="BF"/>
    </w:rPr>
  </w:style>
  <w:style w:type="paragraph" w:styleId="ListParagraph">
    <w:name w:val="List Paragraph"/>
    <w:basedOn w:val="Normal"/>
    <w:uiPriority w:val="34"/>
    <w:qFormat/>
    <w:rsid w:val="00EF6A54"/>
    <w:pPr>
      <w:ind w:left="720"/>
      <w:contextualSpacing/>
    </w:pPr>
  </w:style>
  <w:style w:type="character" w:styleId="IntenseEmphasis">
    <w:name w:val="Intense Emphasis"/>
    <w:basedOn w:val="DefaultParagraphFont"/>
    <w:uiPriority w:val="21"/>
    <w:qFormat/>
    <w:rsid w:val="00EF6A54"/>
    <w:rPr>
      <w:i/>
      <w:iCs/>
      <w:color w:val="0F4761" w:themeColor="accent1" w:themeShade="BF"/>
    </w:rPr>
  </w:style>
  <w:style w:type="paragraph" w:styleId="IntenseQuote">
    <w:name w:val="Intense Quote"/>
    <w:basedOn w:val="Normal"/>
    <w:next w:val="Normal"/>
    <w:link w:val="IntenseQuoteChar"/>
    <w:uiPriority w:val="30"/>
    <w:qFormat/>
    <w:rsid w:val="00EF6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A54"/>
    <w:rPr>
      <w:i/>
      <w:iCs/>
      <w:color w:val="0F4761" w:themeColor="accent1" w:themeShade="BF"/>
    </w:rPr>
  </w:style>
  <w:style w:type="character" w:styleId="IntenseReference">
    <w:name w:val="Intense Reference"/>
    <w:basedOn w:val="DefaultParagraphFont"/>
    <w:uiPriority w:val="32"/>
    <w:qFormat/>
    <w:rsid w:val="00EF6A54"/>
    <w:rPr>
      <w:b/>
      <w:bCs/>
      <w:smallCaps/>
      <w:color w:val="0F4761" w:themeColor="accent1" w:themeShade="BF"/>
      <w:spacing w:val="5"/>
    </w:rPr>
  </w:style>
  <w:style w:type="paragraph" w:styleId="FootnoteText">
    <w:name w:val="footnote text"/>
    <w:basedOn w:val="Normal"/>
    <w:link w:val="FootnoteTextChar"/>
    <w:uiPriority w:val="99"/>
    <w:unhideWhenUsed/>
    <w:rsid w:val="00456EAC"/>
    <w:pPr>
      <w:spacing w:after="0" w:line="240" w:lineRule="auto"/>
    </w:pPr>
    <w:rPr>
      <w:sz w:val="20"/>
      <w:szCs w:val="20"/>
    </w:rPr>
  </w:style>
  <w:style w:type="character" w:customStyle="1" w:styleId="FootnoteTextChar">
    <w:name w:val="Footnote Text Char"/>
    <w:basedOn w:val="DefaultParagraphFont"/>
    <w:link w:val="FootnoteText"/>
    <w:uiPriority w:val="99"/>
    <w:rsid w:val="00456EAC"/>
    <w:rPr>
      <w:sz w:val="20"/>
      <w:szCs w:val="20"/>
    </w:rPr>
  </w:style>
  <w:style w:type="character" w:styleId="FootnoteReference">
    <w:name w:val="footnote reference"/>
    <w:basedOn w:val="DefaultParagraphFont"/>
    <w:uiPriority w:val="99"/>
    <w:semiHidden/>
    <w:unhideWhenUsed/>
    <w:rsid w:val="00456EAC"/>
    <w:rPr>
      <w:vertAlign w:val="superscript"/>
    </w:rPr>
  </w:style>
  <w:style w:type="paragraph" w:styleId="TOCHeading">
    <w:name w:val="TOC Heading"/>
    <w:basedOn w:val="Heading1"/>
    <w:next w:val="Normal"/>
    <w:uiPriority w:val="39"/>
    <w:unhideWhenUsed/>
    <w:qFormat/>
    <w:rsid w:val="00456EAC"/>
    <w:pPr>
      <w:spacing w:before="240" w:after="0"/>
      <w:outlineLvl w:val="9"/>
    </w:pPr>
    <w:rPr>
      <w:kern w:val="0"/>
      <w:sz w:val="32"/>
      <w:szCs w:val="32"/>
      <w:lang w:val="en-US"/>
      <w14:ligatures w14:val="none"/>
    </w:rPr>
  </w:style>
  <w:style w:type="paragraph" w:styleId="Header">
    <w:name w:val="header"/>
    <w:basedOn w:val="Normal"/>
    <w:link w:val="HeaderChar"/>
    <w:uiPriority w:val="99"/>
    <w:unhideWhenUsed/>
    <w:rsid w:val="00054D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4D8C"/>
  </w:style>
  <w:style w:type="paragraph" w:styleId="Footer">
    <w:name w:val="footer"/>
    <w:basedOn w:val="Normal"/>
    <w:link w:val="FooterChar"/>
    <w:uiPriority w:val="99"/>
    <w:unhideWhenUsed/>
    <w:rsid w:val="00054D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4D8C"/>
  </w:style>
  <w:style w:type="character" w:styleId="Hyperlink">
    <w:name w:val="Hyperlink"/>
    <w:basedOn w:val="DefaultParagraphFont"/>
    <w:uiPriority w:val="99"/>
    <w:unhideWhenUsed/>
    <w:rsid w:val="004826F3"/>
    <w:rPr>
      <w:color w:val="0000FF"/>
      <w:u w:val="single"/>
    </w:rPr>
  </w:style>
  <w:style w:type="character" w:customStyle="1" w:styleId="harvardtitle">
    <w:name w:val="harvard_title"/>
    <w:basedOn w:val="DefaultParagraphFont"/>
    <w:rsid w:val="00FC212B"/>
  </w:style>
  <w:style w:type="character" w:styleId="Emphasis">
    <w:name w:val="Emphasis"/>
    <w:basedOn w:val="DefaultParagraphFont"/>
    <w:uiPriority w:val="20"/>
    <w:qFormat/>
    <w:rsid w:val="00FC212B"/>
    <w:rPr>
      <w:i/>
      <w:iCs/>
    </w:rPr>
  </w:style>
  <w:style w:type="character" w:customStyle="1" w:styleId="hgkelc">
    <w:name w:val="hgkelc"/>
    <w:basedOn w:val="DefaultParagraphFont"/>
    <w:rsid w:val="00A92917"/>
  </w:style>
  <w:style w:type="paragraph" w:styleId="Revision">
    <w:name w:val="Revision"/>
    <w:hidden/>
    <w:uiPriority w:val="99"/>
    <w:semiHidden/>
    <w:rsid w:val="00A92917"/>
    <w:pPr>
      <w:spacing w:after="0" w:line="240" w:lineRule="auto"/>
    </w:pPr>
  </w:style>
  <w:style w:type="table" w:styleId="TableGrid">
    <w:name w:val="Table Grid"/>
    <w:basedOn w:val="TableNormal"/>
    <w:uiPriority w:val="39"/>
    <w:rsid w:val="00B3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1">
    <w:name w:val="Subtitle1"/>
    <w:basedOn w:val="DefaultParagraphFont"/>
    <w:rsid w:val="00002EBA"/>
  </w:style>
  <w:style w:type="character" w:customStyle="1" w:styleId="h1-vignette">
    <w:name w:val="h1-vignette"/>
    <w:basedOn w:val="DefaultParagraphFont"/>
    <w:rsid w:val="00556B25"/>
  </w:style>
  <w:style w:type="paragraph" w:customStyle="1" w:styleId="SP4221466">
    <w:name w:val="SP.4.221466"/>
    <w:basedOn w:val="Normal"/>
    <w:next w:val="Normal"/>
    <w:uiPriority w:val="99"/>
    <w:rsid w:val="00DA4931"/>
    <w:pPr>
      <w:autoSpaceDE w:val="0"/>
      <w:autoSpaceDN w:val="0"/>
      <w:adjustRightInd w:val="0"/>
      <w:spacing w:after="0" w:line="240" w:lineRule="auto"/>
    </w:pPr>
    <w:rPr>
      <w:rFonts w:ascii="UniCentury Old Style" w:hAnsi="UniCentury Old Style"/>
      <w:kern w:val="0"/>
      <w:sz w:val="24"/>
      <w:szCs w:val="24"/>
    </w:rPr>
  </w:style>
  <w:style w:type="paragraph" w:customStyle="1" w:styleId="SP4221250">
    <w:name w:val="SP.4.221250"/>
    <w:basedOn w:val="Normal"/>
    <w:next w:val="Normal"/>
    <w:uiPriority w:val="99"/>
    <w:rsid w:val="00DA4931"/>
    <w:pPr>
      <w:autoSpaceDE w:val="0"/>
      <w:autoSpaceDN w:val="0"/>
      <w:adjustRightInd w:val="0"/>
      <w:spacing w:after="0" w:line="240" w:lineRule="auto"/>
    </w:pPr>
    <w:rPr>
      <w:rFonts w:ascii="UniCentury Old Style" w:hAnsi="UniCentury Old Style"/>
      <w:kern w:val="0"/>
      <w:sz w:val="24"/>
      <w:szCs w:val="24"/>
    </w:rPr>
  </w:style>
  <w:style w:type="paragraph" w:customStyle="1" w:styleId="SP4221202">
    <w:name w:val="SP.4.221202"/>
    <w:basedOn w:val="Normal"/>
    <w:next w:val="Normal"/>
    <w:uiPriority w:val="99"/>
    <w:rsid w:val="00DA4931"/>
    <w:pPr>
      <w:autoSpaceDE w:val="0"/>
      <w:autoSpaceDN w:val="0"/>
      <w:adjustRightInd w:val="0"/>
      <w:spacing w:after="0" w:line="240" w:lineRule="auto"/>
    </w:pPr>
    <w:rPr>
      <w:rFonts w:ascii="UniCentury Old Style" w:hAnsi="UniCentury Old Style"/>
      <w:kern w:val="0"/>
      <w:sz w:val="24"/>
      <w:szCs w:val="24"/>
    </w:rPr>
  </w:style>
  <w:style w:type="character" w:customStyle="1" w:styleId="SC4172049">
    <w:name w:val="SC.4.172049"/>
    <w:uiPriority w:val="99"/>
    <w:rsid w:val="00DA4931"/>
    <w:rPr>
      <w:rFonts w:cs="UniCentury Old Style"/>
      <w:color w:val="000000"/>
      <w:sz w:val="21"/>
      <w:szCs w:val="21"/>
    </w:rPr>
  </w:style>
  <w:style w:type="character" w:customStyle="1" w:styleId="SC4172053">
    <w:name w:val="SC.4.172053"/>
    <w:uiPriority w:val="99"/>
    <w:rsid w:val="00DA4931"/>
    <w:rPr>
      <w:rFonts w:cs="UniCentury Old Style"/>
      <w:color w:val="000000"/>
      <w:sz w:val="21"/>
      <w:szCs w:val="21"/>
    </w:rPr>
  </w:style>
  <w:style w:type="character" w:customStyle="1" w:styleId="mw-page-title-main">
    <w:name w:val="mw-page-title-main"/>
    <w:basedOn w:val="DefaultParagraphFont"/>
    <w:rsid w:val="005F1C83"/>
  </w:style>
  <w:style w:type="character" w:styleId="PlaceholderText">
    <w:name w:val="Placeholder Text"/>
    <w:basedOn w:val="DefaultParagraphFont"/>
    <w:uiPriority w:val="99"/>
    <w:semiHidden/>
    <w:rsid w:val="005103CB"/>
    <w:rPr>
      <w:color w:val="666666"/>
    </w:rPr>
  </w:style>
  <w:style w:type="character" w:styleId="UnresolvedMention">
    <w:name w:val="Unresolved Mention"/>
    <w:basedOn w:val="DefaultParagraphFont"/>
    <w:uiPriority w:val="99"/>
    <w:semiHidden/>
    <w:unhideWhenUsed/>
    <w:rsid w:val="00725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5857">
      <w:bodyDiv w:val="1"/>
      <w:marLeft w:val="0"/>
      <w:marRight w:val="0"/>
      <w:marTop w:val="0"/>
      <w:marBottom w:val="0"/>
      <w:divBdr>
        <w:top w:val="none" w:sz="0" w:space="0" w:color="auto"/>
        <w:left w:val="none" w:sz="0" w:space="0" w:color="auto"/>
        <w:bottom w:val="none" w:sz="0" w:space="0" w:color="auto"/>
        <w:right w:val="none" w:sz="0" w:space="0" w:color="auto"/>
      </w:divBdr>
    </w:div>
    <w:div w:id="220680452">
      <w:bodyDiv w:val="1"/>
      <w:marLeft w:val="0"/>
      <w:marRight w:val="0"/>
      <w:marTop w:val="0"/>
      <w:marBottom w:val="0"/>
      <w:divBdr>
        <w:top w:val="none" w:sz="0" w:space="0" w:color="auto"/>
        <w:left w:val="none" w:sz="0" w:space="0" w:color="auto"/>
        <w:bottom w:val="none" w:sz="0" w:space="0" w:color="auto"/>
        <w:right w:val="none" w:sz="0" w:space="0" w:color="auto"/>
      </w:divBdr>
    </w:div>
    <w:div w:id="747504383">
      <w:bodyDiv w:val="1"/>
      <w:marLeft w:val="0"/>
      <w:marRight w:val="0"/>
      <w:marTop w:val="0"/>
      <w:marBottom w:val="0"/>
      <w:divBdr>
        <w:top w:val="none" w:sz="0" w:space="0" w:color="auto"/>
        <w:left w:val="none" w:sz="0" w:space="0" w:color="auto"/>
        <w:bottom w:val="none" w:sz="0" w:space="0" w:color="auto"/>
        <w:right w:val="none" w:sz="0" w:space="0" w:color="auto"/>
      </w:divBdr>
    </w:div>
    <w:div w:id="751664630">
      <w:bodyDiv w:val="1"/>
      <w:marLeft w:val="0"/>
      <w:marRight w:val="0"/>
      <w:marTop w:val="0"/>
      <w:marBottom w:val="0"/>
      <w:divBdr>
        <w:top w:val="none" w:sz="0" w:space="0" w:color="auto"/>
        <w:left w:val="none" w:sz="0" w:space="0" w:color="auto"/>
        <w:bottom w:val="none" w:sz="0" w:space="0" w:color="auto"/>
        <w:right w:val="none" w:sz="0" w:space="0" w:color="auto"/>
      </w:divBdr>
    </w:div>
    <w:div w:id="1347172060">
      <w:bodyDiv w:val="1"/>
      <w:marLeft w:val="0"/>
      <w:marRight w:val="0"/>
      <w:marTop w:val="0"/>
      <w:marBottom w:val="0"/>
      <w:divBdr>
        <w:top w:val="none" w:sz="0" w:space="0" w:color="auto"/>
        <w:left w:val="none" w:sz="0" w:space="0" w:color="auto"/>
        <w:bottom w:val="none" w:sz="0" w:space="0" w:color="auto"/>
        <w:right w:val="none" w:sz="0" w:space="0" w:color="auto"/>
      </w:divBdr>
    </w:div>
    <w:div w:id="1562595585">
      <w:bodyDiv w:val="1"/>
      <w:marLeft w:val="0"/>
      <w:marRight w:val="0"/>
      <w:marTop w:val="0"/>
      <w:marBottom w:val="0"/>
      <w:divBdr>
        <w:top w:val="none" w:sz="0" w:space="0" w:color="auto"/>
        <w:left w:val="none" w:sz="0" w:space="0" w:color="auto"/>
        <w:bottom w:val="none" w:sz="0" w:space="0" w:color="auto"/>
        <w:right w:val="none" w:sz="0" w:space="0" w:color="auto"/>
      </w:divBdr>
    </w:div>
    <w:div w:id="1576741926">
      <w:bodyDiv w:val="1"/>
      <w:marLeft w:val="0"/>
      <w:marRight w:val="0"/>
      <w:marTop w:val="0"/>
      <w:marBottom w:val="0"/>
      <w:divBdr>
        <w:top w:val="none" w:sz="0" w:space="0" w:color="auto"/>
        <w:left w:val="none" w:sz="0" w:space="0" w:color="auto"/>
        <w:bottom w:val="none" w:sz="0" w:space="0" w:color="auto"/>
        <w:right w:val="none" w:sz="0" w:space="0" w:color="auto"/>
      </w:divBdr>
    </w:div>
    <w:div w:id="2085490396">
      <w:bodyDiv w:val="1"/>
      <w:marLeft w:val="0"/>
      <w:marRight w:val="0"/>
      <w:marTop w:val="0"/>
      <w:marBottom w:val="0"/>
      <w:divBdr>
        <w:top w:val="none" w:sz="0" w:space="0" w:color="auto"/>
        <w:left w:val="none" w:sz="0" w:space="0" w:color="auto"/>
        <w:bottom w:val="none" w:sz="0" w:space="0" w:color="auto"/>
        <w:right w:val="none" w:sz="0" w:space="0" w:color="auto"/>
      </w:divBdr>
      <w:divsChild>
        <w:div w:id="1258519664">
          <w:marLeft w:val="0"/>
          <w:marRight w:val="0"/>
          <w:marTop w:val="0"/>
          <w:marBottom w:val="0"/>
          <w:divBdr>
            <w:top w:val="none" w:sz="0" w:space="0" w:color="auto"/>
            <w:left w:val="none" w:sz="0" w:space="0" w:color="auto"/>
            <w:bottom w:val="none" w:sz="0" w:space="0" w:color="auto"/>
            <w:right w:val="none" w:sz="0" w:space="0" w:color="auto"/>
          </w:divBdr>
          <w:divsChild>
            <w:div w:id="608901047">
              <w:marLeft w:val="0"/>
              <w:marRight w:val="0"/>
              <w:marTop w:val="0"/>
              <w:marBottom w:val="0"/>
              <w:divBdr>
                <w:top w:val="none" w:sz="0" w:space="0" w:color="auto"/>
                <w:left w:val="none" w:sz="0" w:space="0" w:color="auto"/>
                <w:bottom w:val="none" w:sz="0" w:space="0" w:color="auto"/>
                <w:right w:val="none" w:sz="0" w:space="0" w:color="auto"/>
              </w:divBdr>
              <w:divsChild>
                <w:div w:id="10020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olof.deblanche\Dropbox\Calmfors\Nominal%20wage%20costs%20and%20wages\Eurostat%20Olof\Labor%20cost%20index%20Eurostat%20Olo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olof.deblanche\Dropbox\Calmfors\Nominal%20wage%20costs%20and%20wages\Eurostat%20Olof\Labor%20cost%20index%20Eurostat%20Olof.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abriel.nilsen\Dropbox\Calmfors\Labour%20share\Labour%20share%20calculation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abriel.nilsen\Dropbox\Calmfors\Labour%20share\Labour%20share%20calculation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olof.deblanche\Dropbox\Calmfors\Nominal%20wage%20costs%20and%20wages\Wage%20INdex%20Olof\Labor%20cost%20index%20Eurostat%20Olof.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olof.deblanche\Dropbox\Calmfors\Nominal%20wage%20costs%20and%20wages\Wage%20INdex%20Olof\Labor%20cost%20index%20Eurostat%20Olof.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olof.deblanche\Dropbox\Calmfors\Nominal%20wage%20costs%20and%20wages\Wage%20INdex%20Olof\Nominal%20Unit%20Labor%20Cos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olof.deblanche\Dropbox\Calmfors\Nominal%20wage%20costs%20and%20wages\Wage%20INdex%20Olof\Nominal%20Unit%20Labor%20Cost.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'1a. Nominal Wage Cost %Increase'!$B$2</c:f>
              <c:strCache>
                <c:ptCount val="1"/>
                <c:pt idx="0">
                  <c:v>DK</c:v>
                </c:pt>
              </c:strCache>
            </c:strRef>
          </c:tx>
          <c:spPr>
            <a:ln w="28575" cap="rnd">
              <a:solidFill>
                <a:srgbClr val="FF0000"/>
              </a:solidFill>
              <a:round/>
            </a:ln>
            <a:effectLst/>
          </c:spPr>
          <c:marker>
            <c:symbol val="none"/>
          </c:marker>
          <c:cat>
            <c:numRef>
              <c:f>'1a. Nominal Wage Cost %Increase'!$C$1:$X$1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'1a. Nominal Wage Cost %Increase'!$C$2:$X$2</c:f>
              <c:numCache>
                <c:formatCode>General</c:formatCode>
                <c:ptCount val="22"/>
                <c:pt idx="0">
                  <c:v>3.9</c:v>
                </c:pt>
                <c:pt idx="1">
                  <c:v>4.5</c:v>
                </c:pt>
                <c:pt idx="2">
                  <c:v>3.3</c:v>
                </c:pt>
                <c:pt idx="3">
                  <c:v>2</c:v>
                </c:pt>
                <c:pt idx="4">
                  <c:v>3.2</c:v>
                </c:pt>
                <c:pt idx="5">
                  <c:v>3.9</c:v>
                </c:pt>
                <c:pt idx="6">
                  <c:v>4</c:v>
                </c:pt>
                <c:pt idx="7">
                  <c:v>2.7</c:v>
                </c:pt>
                <c:pt idx="8">
                  <c:v>2.5</c:v>
                </c:pt>
                <c:pt idx="9">
                  <c:v>2.8</c:v>
                </c:pt>
                <c:pt idx="10">
                  <c:v>1.3</c:v>
                </c:pt>
                <c:pt idx="11">
                  <c:v>1.8</c:v>
                </c:pt>
                <c:pt idx="12">
                  <c:v>2</c:v>
                </c:pt>
                <c:pt idx="13">
                  <c:v>1.7</c:v>
                </c:pt>
                <c:pt idx="14">
                  <c:v>2.8</c:v>
                </c:pt>
                <c:pt idx="15">
                  <c:v>1.5</c:v>
                </c:pt>
                <c:pt idx="16">
                  <c:v>2.4</c:v>
                </c:pt>
                <c:pt idx="17">
                  <c:v>3.1</c:v>
                </c:pt>
                <c:pt idx="18">
                  <c:v>1.3</c:v>
                </c:pt>
                <c:pt idx="19">
                  <c:v>4</c:v>
                </c:pt>
                <c:pt idx="20">
                  <c:v>3.1</c:v>
                </c:pt>
                <c:pt idx="21">
                  <c:v>2.8</c:v>
                </c:pt>
              </c:numCache>
            </c:numRef>
          </c:val>
          <c:smooth val="0"/>
          <c:extLst>
            <c:ext xmlns:c16="http://schemas.microsoft.com/office/drawing/2014/chart" uri="{C3380CC4-5D6E-409C-BE32-E72D297353CC}">
              <c16:uniqueId val="{00000000-65D7-4BF3-825D-49D453CA56B8}"/>
            </c:ext>
          </c:extLst>
        </c:ser>
        <c:ser>
          <c:idx val="1"/>
          <c:order val="1"/>
          <c:tx>
            <c:strRef>
              <c:f>'1a. Nominal Wage Cost %Increase'!$B$3</c:f>
              <c:strCache>
                <c:ptCount val="1"/>
                <c:pt idx="0">
                  <c:v>FI</c:v>
                </c:pt>
              </c:strCache>
            </c:strRef>
          </c:tx>
          <c:spPr>
            <a:ln w="28575" cap="rnd">
              <a:solidFill>
                <a:srgbClr val="00B0F0"/>
              </a:solidFill>
              <a:round/>
            </a:ln>
            <a:effectLst/>
          </c:spPr>
          <c:marker>
            <c:symbol val="none"/>
          </c:marker>
          <c:cat>
            <c:numRef>
              <c:f>'1a. Nominal Wage Cost %Increase'!$C$1:$X$1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'1a. Nominal Wage Cost %Increase'!$C$3:$X$3</c:f>
              <c:numCache>
                <c:formatCode>General</c:formatCode>
                <c:ptCount val="22"/>
                <c:pt idx="0">
                  <c:v>4.8</c:v>
                </c:pt>
                <c:pt idx="1">
                  <c:v>3.5</c:v>
                </c:pt>
                <c:pt idx="2">
                  <c:v>4.3</c:v>
                </c:pt>
                <c:pt idx="3">
                  <c:v>4.2</c:v>
                </c:pt>
                <c:pt idx="4">
                  <c:v>3.4</c:v>
                </c:pt>
                <c:pt idx="5">
                  <c:v>8</c:v>
                </c:pt>
                <c:pt idx="6">
                  <c:v>2.5</c:v>
                </c:pt>
                <c:pt idx="7">
                  <c:v>6.2</c:v>
                </c:pt>
                <c:pt idx="8">
                  <c:v>-1.2</c:v>
                </c:pt>
                <c:pt idx="9">
                  <c:v>2.5</c:v>
                </c:pt>
                <c:pt idx="10">
                  <c:v>4.8</c:v>
                </c:pt>
                <c:pt idx="11">
                  <c:v>1</c:v>
                </c:pt>
                <c:pt idx="12">
                  <c:v>1.9</c:v>
                </c:pt>
                <c:pt idx="13">
                  <c:v>2.1</c:v>
                </c:pt>
                <c:pt idx="14">
                  <c:v>0.7</c:v>
                </c:pt>
                <c:pt idx="15">
                  <c:v>-1.8</c:v>
                </c:pt>
                <c:pt idx="16">
                  <c:v>1.1000000000000001</c:v>
                </c:pt>
                <c:pt idx="17">
                  <c:v>0.6</c:v>
                </c:pt>
                <c:pt idx="18">
                  <c:v>-0.4</c:v>
                </c:pt>
                <c:pt idx="19">
                  <c:v>4</c:v>
                </c:pt>
                <c:pt idx="20">
                  <c:v>3.2</c:v>
                </c:pt>
                <c:pt idx="21">
                  <c:v>3.8</c:v>
                </c:pt>
              </c:numCache>
            </c:numRef>
          </c:val>
          <c:smooth val="0"/>
          <c:extLst>
            <c:ext xmlns:c16="http://schemas.microsoft.com/office/drawing/2014/chart" uri="{C3380CC4-5D6E-409C-BE32-E72D297353CC}">
              <c16:uniqueId val="{00000001-65D7-4BF3-825D-49D453CA56B8}"/>
            </c:ext>
          </c:extLst>
        </c:ser>
        <c:ser>
          <c:idx val="2"/>
          <c:order val="2"/>
          <c:tx>
            <c:strRef>
              <c:f>'1a. Nominal Wage Cost %Increase'!$B$4</c:f>
              <c:strCache>
                <c:ptCount val="1"/>
                <c:pt idx="0">
                  <c:v>NO</c:v>
                </c:pt>
              </c:strCache>
            </c:strRef>
          </c:tx>
          <c:spPr>
            <a:ln w="28575" cap="rnd">
              <a:solidFill>
                <a:schemeClr val="tx2">
                  <a:lumMod val="75000"/>
                  <a:lumOff val="25000"/>
                </a:schemeClr>
              </a:solidFill>
              <a:round/>
            </a:ln>
            <a:effectLst/>
          </c:spPr>
          <c:marker>
            <c:symbol val="none"/>
          </c:marker>
          <c:cat>
            <c:numRef>
              <c:f>'1a. Nominal Wage Cost %Increase'!$C$1:$X$1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'1a. Nominal Wage Cost %Increase'!$C$4:$X$4</c:f>
              <c:numCache>
                <c:formatCode>General</c:formatCode>
                <c:ptCount val="22"/>
                <c:pt idx="0">
                  <c:v>6.222943722943719</c:v>
                </c:pt>
                <c:pt idx="1">
                  <c:v>3.6678553234844591</c:v>
                </c:pt>
                <c:pt idx="2">
                  <c:v>7.1253071253071232</c:v>
                </c:pt>
                <c:pt idx="3">
                  <c:v>5.0917431192660567</c:v>
                </c:pt>
                <c:pt idx="4">
                  <c:v>6.241815800960282</c:v>
                </c:pt>
                <c:pt idx="5">
                  <c:v>7.6006573541495648</c:v>
                </c:pt>
                <c:pt idx="6">
                  <c:v>6.3001145475372278</c:v>
                </c:pt>
                <c:pt idx="7">
                  <c:v>5.06465517241379</c:v>
                </c:pt>
                <c:pt idx="8">
                  <c:v>4.1025641025641102</c:v>
                </c:pt>
                <c:pt idx="9">
                  <c:v>3.4811165845648695</c:v>
                </c:pt>
                <c:pt idx="10">
                  <c:v>3.2688035544271576</c:v>
                </c:pt>
                <c:pt idx="11">
                  <c:v>4.2102028272894998</c:v>
                </c:pt>
                <c:pt idx="12">
                  <c:v>3.8041875552934146</c:v>
                </c:pt>
                <c:pt idx="13">
                  <c:v>1.2215909090909083</c:v>
                </c:pt>
                <c:pt idx="14">
                  <c:v>2.4136963233230446</c:v>
                </c:pt>
                <c:pt idx="15">
                  <c:v>1.5072622636338462</c:v>
                </c:pt>
                <c:pt idx="16">
                  <c:v>2.5377969762419017</c:v>
                </c:pt>
                <c:pt idx="17">
                  <c:v>2.9489204844654893</c:v>
                </c:pt>
                <c:pt idx="18">
                  <c:v>2.3017902813299296</c:v>
                </c:pt>
                <c:pt idx="19">
                  <c:v>3.0999999999999917</c:v>
                </c:pt>
                <c:pt idx="20">
                  <c:v>3.3462657613967162</c:v>
                </c:pt>
                <c:pt idx="21">
                  <c:v>4.6926325668700031</c:v>
                </c:pt>
              </c:numCache>
            </c:numRef>
          </c:val>
          <c:smooth val="0"/>
          <c:extLst>
            <c:ext xmlns:c16="http://schemas.microsoft.com/office/drawing/2014/chart" uri="{C3380CC4-5D6E-409C-BE32-E72D297353CC}">
              <c16:uniqueId val="{00000002-65D7-4BF3-825D-49D453CA56B8}"/>
            </c:ext>
          </c:extLst>
        </c:ser>
        <c:ser>
          <c:idx val="3"/>
          <c:order val="3"/>
          <c:tx>
            <c:strRef>
              <c:f>'1a. Nominal Wage Cost %Increase'!$B$5</c:f>
              <c:strCache>
                <c:ptCount val="1"/>
                <c:pt idx="0">
                  <c:v>SE</c:v>
                </c:pt>
              </c:strCache>
            </c:strRef>
          </c:tx>
          <c:spPr>
            <a:ln w="28575" cap="rnd">
              <a:solidFill>
                <a:srgbClr val="FFFF00"/>
              </a:solidFill>
              <a:round/>
            </a:ln>
            <a:effectLst/>
          </c:spPr>
          <c:marker>
            <c:symbol val="none"/>
          </c:marker>
          <c:cat>
            <c:numRef>
              <c:f>'1a. Nominal Wage Cost %Increase'!$C$1:$X$1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'1a. Nominal Wage Cost %Increase'!$C$5:$X$5</c:f>
              <c:numCache>
                <c:formatCode>General</c:formatCode>
                <c:ptCount val="22"/>
                <c:pt idx="0">
                  <c:v>3.3</c:v>
                </c:pt>
                <c:pt idx="1">
                  <c:v>4.9000000000000004</c:v>
                </c:pt>
                <c:pt idx="2">
                  <c:v>2.9</c:v>
                </c:pt>
                <c:pt idx="3">
                  <c:v>3.2</c:v>
                </c:pt>
                <c:pt idx="4">
                  <c:v>0.7</c:v>
                </c:pt>
                <c:pt idx="5">
                  <c:v>5.2</c:v>
                </c:pt>
                <c:pt idx="6">
                  <c:v>4.0999999999999996</c:v>
                </c:pt>
                <c:pt idx="7">
                  <c:v>4.9000000000000004</c:v>
                </c:pt>
                <c:pt idx="8">
                  <c:v>2.1</c:v>
                </c:pt>
                <c:pt idx="9">
                  <c:v>2.8</c:v>
                </c:pt>
                <c:pt idx="10">
                  <c:v>4.8</c:v>
                </c:pt>
                <c:pt idx="11">
                  <c:v>1.4</c:v>
                </c:pt>
                <c:pt idx="12">
                  <c:v>2.7</c:v>
                </c:pt>
                <c:pt idx="13">
                  <c:v>2.9</c:v>
                </c:pt>
                <c:pt idx="14">
                  <c:v>3.3</c:v>
                </c:pt>
                <c:pt idx="15">
                  <c:v>1.1000000000000001</c:v>
                </c:pt>
                <c:pt idx="16">
                  <c:v>3.1</c:v>
                </c:pt>
                <c:pt idx="17">
                  <c:v>3.6</c:v>
                </c:pt>
                <c:pt idx="18">
                  <c:v>-0.8</c:v>
                </c:pt>
                <c:pt idx="19">
                  <c:v>4.8</c:v>
                </c:pt>
                <c:pt idx="20">
                  <c:v>2.8</c:v>
                </c:pt>
                <c:pt idx="21">
                  <c:v>3.7</c:v>
                </c:pt>
              </c:numCache>
            </c:numRef>
          </c:val>
          <c:smooth val="0"/>
          <c:extLst>
            <c:ext xmlns:c16="http://schemas.microsoft.com/office/drawing/2014/chart" uri="{C3380CC4-5D6E-409C-BE32-E72D297353CC}">
              <c16:uniqueId val="{00000003-65D7-4BF3-825D-49D453CA56B8}"/>
            </c:ext>
          </c:extLst>
        </c:ser>
        <c:ser>
          <c:idx val="4"/>
          <c:order val="4"/>
          <c:tx>
            <c:strRef>
              <c:f>'1a. Nominal Wage Cost %Increase'!$B$6</c:f>
              <c:strCache>
                <c:ptCount val="1"/>
                <c:pt idx="0">
                  <c:v>EA</c:v>
                </c:pt>
              </c:strCache>
            </c:strRef>
          </c:tx>
          <c:spPr>
            <a:ln w="28575" cap="rnd">
              <a:solidFill>
                <a:srgbClr val="00B050"/>
              </a:solidFill>
              <a:round/>
            </a:ln>
            <a:effectLst/>
          </c:spPr>
          <c:marker>
            <c:symbol val="none"/>
          </c:marker>
          <c:cat>
            <c:numRef>
              <c:f>'1a. Nominal Wage Cost %Increase'!$C$1:$X$1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'1a. Nominal Wage Cost %Increase'!$C$6:$X$6</c:f>
              <c:numCache>
                <c:formatCode>General</c:formatCode>
                <c:ptCount val="22"/>
                <c:pt idx="0">
                  <c:v>3.3</c:v>
                </c:pt>
                <c:pt idx="1">
                  <c:v>2.8</c:v>
                </c:pt>
                <c:pt idx="2">
                  <c:v>2.2999999999999998</c:v>
                </c:pt>
                <c:pt idx="3">
                  <c:v>2.2999999999999998</c:v>
                </c:pt>
                <c:pt idx="4">
                  <c:v>3.3</c:v>
                </c:pt>
                <c:pt idx="5">
                  <c:v>2.2999999999999998</c:v>
                </c:pt>
                <c:pt idx="6">
                  <c:v>3.3</c:v>
                </c:pt>
                <c:pt idx="7">
                  <c:v>3.2</c:v>
                </c:pt>
                <c:pt idx="8">
                  <c:v>0.8</c:v>
                </c:pt>
                <c:pt idx="9">
                  <c:v>3.3</c:v>
                </c:pt>
                <c:pt idx="10">
                  <c:v>2.6</c:v>
                </c:pt>
                <c:pt idx="11">
                  <c:v>1.6</c:v>
                </c:pt>
                <c:pt idx="12">
                  <c:v>1.8</c:v>
                </c:pt>
                <c:pt idx="13">
                  <c:v>1.2</c:v>
                </c:pt>
                <c:pt idx="14">
                  <c:v>1.5</c:v>
                </c:pt>
                <c:pt idx="15">
                  <c:v>2.2999999999999998</c:v>
                </c:pt>
                <c:pt idx="16">
                  <c:v>2.5</c:v>
                </c:pt>
                <c:pt idx="17">
                  <c:v>2.7</c:v>
                </c:pt>
                <c:pt idx="18">
                  <c:v>1.8</c:v>
                </c:pt>
                <c:pt idx="19">
                  <c:v>0</c:v>
                </c:pt>
                <c:pt idx="20">
                  <c:v>4.5999999999999996</c:v>
                </c:pt>
                <c:pt idx="21">
                  <c:v>5.0999999999999996</c:v>
                </c:pt>
              </c:numCache>
            </c:numRef>
          </c:val>
          <c:smooth val="0"/>
          <c:extLst>
            <c:ext xmlns:c16="http://schemas.microsoft.com/office/drawing/2014/chart" uri="{C3380CC4-5D6E-409C-BE32-E72D297353CC}">
              <c16:uniqueId val="{00000004-65D7-4BF3-825D-49D453CA56B8}"/>
            </c:ext>
          </c:extLst>
        </c:ser>
        <c:dLbls>
          <c:showLegendKey val="0"/>
          <c:showVal val="0"/>
          <c:showCatName val="0"/>
          <c:showSerName val="0"/>
          <c:showPercent val="0"/>
          <c:showBubbleSize val="0"/>
        </c:dLbls>
        <c:smooth val="0"/>
        <c:axId val="968634143"/>
        <c:axId val="968634623"/>
      </c:lineChart>
      <c:catAx>
        <c:axId val="968634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968634623"/>
        <c:crosses val="autoZero"/>
        <c:auto val="1"/>
        <c:lblAlgn val="ctr"/>
        <c:lblOffset val="100"/>
        <c:noMultiLvlLbl val="0"/>
      </c:catAx>
      <c:valAx>
        <c:axId val="968634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9686341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 Real wage change'!$L$35</c:f>
              <c:strCache>
                <c:ptCount val="1"/>
                <c:pt idx="0">
                  <c:v>DK</c:v>
                </c:pt>
              </c:strCache>
            </c:strRef>
          </c:tx>
          <c:spPr>
            <a:ln w="28575" cap="rnd">
              <a:solidFill>
                <a:srgbClr val="FF0000"/>
              </a:solidFill>
              <a:round/>
            </a:ln>
            <a:effectLst/>
          </c:spPr>
          <c:marker>
            <c:symbol val="none"/>
          </c:marker>
          <c:cat>
            <c:numRef>
              <c:f>'3. Real wage change'!$M$34:$AI$34</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'3. Real wage change'!$M$35:$AI$35</c:f>
              <c:numCache>
                <c:formatCode>General</c:formatCode>
                <c:ptCount val="23"/>
                <c:pt idx="0" formatCode="0.00">
                  <c:v>0.95523329129885148</c:v>
                </c:pt>
                <c:pt idx="1">
                  <c:v>0.98054187192118114</c:v>
                </c:pt>
                <c:pt idx="2">
                  <c:v>1.7209189842805506</c:v>
                </c:pt>
                <c:pt idx="3">
                  <c:v>1.6170059880239451</c:v>
                </c:pt>
                <c:pt idx="4">
                  <c:v>-0.38941176470588257</c:v>
                </c:pt>
                <c:pt idx="5">
                  <c:v>0.62427745664741519</c:v>
                </c:pt>
                <c:pt idx="6">
                  <c:v>1.6375000000000028</c:v>
                </c:pt>
                <c:pt idx="7">
                  <c:v>-3.5087719298243503E-2</c:v>
                </c:pt>
                <c:pt idx="8">
                  <c:v>0.50814332247557381</c:v>
                </c:pt>
                <c:pt idx="9">
                  <c:v>0.90871413390010147</c:v>
                </c:pt>
                <c:pt idx="10">
                  <c:v>0.5291925465838565</c:v>
                </c:pt>
                <c:pt idx="11">
                  <c:v>-1.4465116279069989</c:v>
                </c:pt>
                <c:pt idx="12">
                  <c:v>1.3874245472836888</c:v>
                </c:pt>
                <c:pt idx="13">
                  <c:v>1.3919839679358947</c:v>
                </c:pt>
                <c:pt idx="14">
                  <c:v>1.396799999999998</c:v>
                </c:pt>
                <c:pt idx="15">
                  <c:v>2.6000000000000023</c:v>
                </c:pt>
                <c:pt idx="16">
                  <c:v>0.19782393669633969</c:v>
                </c:pt>
                <c:pt idx="17">
                  <c:v>1.7951866404715133</c:v>
                </c:pt>
                <c:pt idx="18">
                  <c:v>2.4952195121951126</c:v>
                </c:pt>
                <c:pt idx="19">
                  <c:v>2.2011661807580296</c:v>
                </c:pt>
                <c:pt idx="20">
                  <c:v>0.93813155386082148</c:v>
                </c:pt>
                <c:pt idx="21">
                  <c:v>-5.424077328646737</c:v>
                </c:pt>
                <c:pt idx="22">
                  <c:v>-0.61853741496598058</c:v>
                </c:pt>
              </c:numCache>
            </c:numRef>
          </c:val>
          <c:smooth val="0"/>
          <c:extLst>
            <c:ext xmlns:c16="http://schemas.microsoft.com/office/drawing/2014/chart" uri="{C3380CC4-5D6E-409C-BE32-E72D297353CC}">
              <c16:uniqueId val="{00000000-BA4B-4490-B2E7-A0B9EB40BFE9}"/>
            </c:ext>
          </c:extLst>
        </c:ser>
        <c:ser>
          <c:idx val="1"/>
          <c:order val="1"/>
          <c:tx>
            <c:strRef>
              <c:f>'3. Real wage change'!$L$36</c:f>
              <c:strCache>
                <c:ptCount val="1"/>
                <c:pt idx="0">
                  <c:v>FI</c:v>
                </c:pt>
              </c:strCache>
            </c:strRef>
          </c:tx>
          <c:spPr>
            <a:ln w="28575" cap="rnd">
              <a:solidFill>
                <a:srgbClr val="00B0F0"/>
              </a:solidFill>
              <a:round/>
            </a:ln>
            <a:effectLst/>
          </c:spPr>
          <c:marker>
            <c:symbol val="none"/>
          </c:marker>
          <c:cat>
            <c:numRef>
              <c:f>'3. Real wage change'!$M$34:$AI$34</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'3. Real wage change'!$M$36:$AI$36</c:f>
              <c:numCache>
                <c:formatCode>General</c:formatCode>
                <c:ptCount val="23"/>
                <c:pt idx="0" formatCode="0.00">
                  <c:v>2.6523461939520487</c:v>
                </c:pt>
                <c:pt idx="1">
                  <c:v>2.3717791411043132</c:v>
                </c:pt>
                <c:pt idx="2">
                  <c:v>3.4252270433905219</c:v>
                </c:pt>
                <c:pt idx="3">
                  <c:v>4.3946572580644938</c:v>
                </c:pt>
                <c:pt idx="4">
                  <c:v>3.763200000000011</c:v>
                </c:pt>
                <c:pt idx="5">
                  <c:v>1.7769002961500524</c:v>
                </c:pt>
                <c:pt idx="6">
                  <c:v>6.4191448007774543</c:v>
                </c:pt>
                <c:pt idx="7">
                  <c:v>-1.2391019644527601</c:v>
                </c:pt>
                <c:pt idx="8">
                  <c:v>4.9331186752529899</c:v>
                </c:pt>
                <c:pt idx="9">
                  <c:v>-2.3175565610859761</c:v>
                </c:pt>
                <c:pt idx="10">
                  <c:v>-0.9176882661996566</c:v>
                </c:pt>
                <c:pt idx="11">
                  <c:v>1.5972835314091771</c:v>
                </c:pt>
                <c:pt idx="12">
                  <c:v>-0.8628395779679443</c:v>
                </c:pt>
                <c:pt idx="13">
                  <c:v>0.48123614873183396</c:v>
                </c:pt>
                <c:pt idx="14">
                  <c:v>1.9590101940151206</c:v>
                </c:pt>
                <c:pt idx="15">
                  <c:v>-0.18566865940544686</c:v>
                </c:pt>
                <c:pt idx="16">
                  <c:v>-1.7209372208235263</c:v>
                </c:pt>
                <c:pt idx="17">
                  <c:v>0.72205988600786419</c:v>
                </c:pt>
                <c:pt idx="18">
                  <c:v>5.9401539804748715E-2</c:v>
                </c:pt>
                <c:pt idx="19">
                  <c:v>0.71628844785323054</c:v>
                </c:pt>
                <c:pt idx="20">
                  <c:v>1.0074908978232155</c:v>
                </c:pt>
                <c:pt idx="21">
                  <c:v>-3.8870174931328605</c:v>
                </c:pt>
                <c:pt idx="22">
                  <c:v>-0.7133772081745704</c:v>
                </c:pt>
              </c:numCache>
            </c:numRef>
          </c:val>
          <c:smooth val="0"/>
          <c:extLst>
            <c:ext xmlns:c16="http://schemas.microsoft.com/office/drawing/2014/chart" uri="{C3380CC4-5D6E-409C-BE32-E72D297353CC}">
              <c16:uniqueId val="{00000001-BA4B-4490-B2E7-A0B9EB40BFE9}"/>
            </c:ext>
          </c:extLst>
        </c:ser>
        <c:ser>
          <c:idx val="2"/>
          <c:order val="2"/>
          <c:tx>
            <c:strRef>
              <c:f>'3. Real wage change'!$L$37</c:f>
              <c:strCache>
                <c:ptCount val="1"/>
                <c:pt idx="0">
                  <c:v>NO</c:v>
                </c:pt>
              </c:strCache>
            </c:strRef>
          </c:tx>
          <c:spPr>
            <a:ln w="28575" cap="rnd">
              <a:solidFill>
                <a:srgbClr val="0070C0"/>
              </a:solidFill>
              <a:round/>
            </a:ln>
            <a:effectLst/>
          </c:spPr>
          <c:marker>
            <c:symbol val="none"/>
          </c:marker>
          <c:cat>
            <c:numRef>
              <c:f>'3. Real wage change'!$M$34:$AI$34</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'3. Real wage change'!$M$37:$AI$37</c:f>
              <c:numCache>
                <c:formatCode>General</c:formatCode>
                <c:ptCount val="23"/>
                <c:pt idx="0" formatCode="0.00">
                  <c:v>3.5396102961457121</c:v>
                </c:pt>
                <c:pt idx="1">
                  <c:v>4.5396610043735963</c:v>
                </c:pt>
                <c:pt idx="2">
                  <c:v>1.8648096255398761</c:v>
                </c:pt>
                <c:pt idx="3">
                  <c:v>5.4776925825935407</c:v>
                </c:pt>
                <c:pt idx="4">
                  <c:v>2.7757356963133084</c:v>
                </c:pt>
                <c:pt idx="5">
                  <c:v>3.2188820343502345</c:v>
                </c:pt>
                <c:pt idx="6">
                  <c:v>7.1113650737506084</c:v>
                </c:pt>
                <c:pt idx="7">
                  <c:v>2.3728257598943925</c:v>
                </c:pt>
                <c:pt idx="8">
                  <c:v>2.834450768298602</c:v>
                </c:pt>
                <c:pt idx="9">
                  <c:v>1.4884574933232697</c:v>
                </c:pt>
                <c:pt idx="10">
                  <c:v>2.0141843971631213</c:v>
                </c:pt>
                <c:pt idx="11">
                  <c:v>2.8655733907123171</c:v>
                </c:pt>
                <c:pt idx="12">
                  <c:v>2.2420534955353899</c:v>
                </c:pt>
                <c:pt idx="13">
                  <c:v>1.920850239205496</c:v>
                </c:pt>
                <c:pt idx="14">
                  <c:v>-0.68362389254074118</c:v>
                </c:pt>
                <c:pt idx="15">
                  <c:v>-1.5008031389460386</c:v>
                </c:pt>
                <c:pt idx="16">
                  <c:v>-0.19924562740494256</c:v>
                </c:pt>
                <c:pt idx="17">
                  <c:v>-0.48811916655058241</c:v>
                </c:pt>
                <c:pt idx="18">
                  <c:v>0.91216051937763609</c:v>
                </c:pt>
                <c:pt idx="19">
                  <c:v>1.3041432031734024</c:v>
                </c:pt>
                <c:pt idx="20">
                  <c:v>-0.8909556313993372</c:v>
                </c:pt>
                <c:pt idx="21">
                  <c:v>-2.7095709860563644</c:v>
                </c:pt>
                <c:pt idx="22">
                  <c:v>-1.7505049791046723</c:v>
                </c:pt>
              </c:numCache>
            </c:numRef>
          </c:val>
          <c:smooth val="0"/>
          <c:extLst>
            <c:ext xmlns:c16="http://schemas.microsoft.com/office/drawing/2014/chart" uri="{C3380CC4-5D6E-409C-BE32-E72D297353CC}">
              <c16:uniqueId val="{00000002-BA4B-4490-B2E7-A0B9EB40BFE9}"/>
            </c:ext>
          </c:extLst>
        </c:ser>
        <c:ser>
          <c:idx val="3"/>
          <c:order val="3"/>
          <c:tx>
            <c:strRef>
              <c:f>'3. Real wage change'!$L$38</c:f>
              <c:strCache>
                <c:ptCount val="1"/>
                <c:pt idx="0">
                  <c:v>SE</c:v>
                </c:pt>
              </c:strCache>
            </c:strRef>
          </c:tx>
          <c:spPr>
            <a:ln w="28575" cap="rnd">
              <a:solidFill>
                <a:srgbClr val="FFFF00"/>
              </a:solidFill>
              <a:round/>
            </a:ln>
            <a:effectLst/>
          </c:spPr>
          <c:marker>
            <c:symbol val="none"/>
          </c:marker>
          <c:cat>
            <c:numRef>
              <c:f>'3. Real wage change'!$M$34:$AI$34</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'3. Real wage change'!$M$38:$AI$38</c:f>
              <c:numCache>
                <c:formatCode>General</c:formatCode>
                <c:ptCount val="23"/>
                <c:pt idx="0" formatCode="0.00">
                  <c:v>1.4779785156250114</c:v>
                </c:pt>
                <c:pt idx="1">
                  <c:v>1.7255897497305606</c:v>
                </c:pt>
                <c:pt idx="2">
                  <c:v>1.1620435393258521</c:v>
                </c:pt>
                <c:pt idx="3">
                  <c:v>1.8509731232622784</c:v>
                </c:pt>
                <c:pt idx="4">
                  <c:v>2.5564517982304968</c:v>
                </c:pt>
                <c:pt idx="5">
                  <c:v>0.88150328277110113</c:v>
                </c:pt>
                <c:pt idx="6">
                  <c:v>2.286350478735244</c:v>
                </c:pt>
                <c:pt idx="7">
                  <c:v>1.6921469352579876</c:v>
                </c:pt>
                <c:pt idx="8">
                  <c:v>1.9236711402303763</c:v>
                </c:pt>
                <c:pt idx="9">
                  <c:v>0.58669501192574192</c:v>
                </c:pt>
                <c:pt idx="10">
                  <c:v>1.2145063938619138</c:v>
                </c:pt>
                <c:pt idx="11">
                  <c:v>3.1398236367322196</c:v>
                </c:pt>
                <c:pt idx="12">
                  <c:v>1.4475681130171614</c:v>
                </c:pt>
                <c:pt idx="13">
                  <c:v>2.1937562940584021</c:v>
                </c:pt>
                <c:pt idx="14">
                  <c:v>1.9811000000000023</c:v>
                </c:pt>
                <c:pt idx="15">
                  <c:v>1.0480522048645469</c:v>
                </c:pt>
                <c:pt idx="16">
                  <c:v>-0.94131236653078876</c:v>
                </c:pt>
                <c:pt idx="17">
                  <c:v>0.55034246575342838</c:v>
                </c:pt>
                <c:pt idx="18">
                  <c:v>2.0429813896941873</c:v>
                </c:pt>
                <c:pt idx="19">
                  <c:v>-0.15362817058440781</c:v>
                </c:pt>
                <c:pt idx="20">
                  <c:v>0.82093402117837666</c:v>
                </c:pt>
                <c:pt idx="21">
                  <c:v>-5.1409247005612109</c:v>
                </c:pt>
                <c:pt idx="22">
                  <c:v>-1.1378282189180799</c:v>
                </c:pt>
              </c:numCache>
            </c:numRef>
          </c:val>
          <c:smooth val="0"/>
          <c:extLst>
            <c:ext xmlns:c16="http://schemas.microsoft.com/office/drawing/2014/chart" uri="{C3380CC4-5D6E-409C-BE32-E72D297353CC}">
              <c16:uniqueId val="{00000003-BA4B-4490-B2E7-A0B9EB40BFE9}"/>
            </c:ext>
          </c:extLst>
        </c:ser>
        <c:ser>
          <c:idx val="4"/>
          <c:order val="4"/>
          <c:tx>
            <c:strRef>
              <c:f>'3. Real wage change'!$L$39</c:f>
              <c:strCache>
                <c:ptCount val="1"/>
                <c:pt idx="0">
                  <c:v>EA</c:v>
                </c:pt>
              </c:strCache>
            </c:strRef>
          </c:tx>
          <c:spPr>
            <a:ln w="28575" cap="rnd">
              <a:solidFill>
                <a:srgbClr val="00B050"/>
              </a:solidFill>
              <a:round/>
            </a:ln>
            <a:effectLst/>
          </c:spPr>
          <c:marker>
            <c:symbol val="none"/>
          </c:marker>
          <c:cat>
            <c:numRef>
              <c:f>'3. Real wage change'!$M$34:$AI$34</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'3. Real wage change'!$M$39:$AI$39</c:f>
              <c:numCache>
                <c:formatCode>General</c:formatCode>
                <c:ptCount val="23"/>
                <c:pt idx="0" formatCode="0.00">
                  <c:v>1.1730205278592365</c:v>
                </c:pt>
                <c:pt idx="1">
                  <c:v>0.58651026392961825</c:v>
                </c:pt>
                <c:pt idx="2">
                  <c:v>0.58765915768854704</c:v>
                </c:pt>
                <c:pt idx="3">
                  <c:v>-9.7943192948080071E-2</c:v>
                </c:pt>
                <c:pt idx="4">
                  <c:v>0.39138943248533398</c:v>
                </c:pt>
                <c:pt idx="5">
                  <c:v>0.88062622309197369</c:v>
                </c:pt>
                <c:pt idx="6">
                  <c:v>0.97943192948091173</c:v>
                </c:pt>
                <c:pt idx="7">
                  <c:v>-9.6805421103574041E-2</c:v>
                </c:pt>
                <c:pt idx="8">
                  <c:v>2.4925224327019047</c:v>
                </c:pt>
                <c:pt idx="9">
                  <c:v>-0.68897637795276578</c:v>
                </c:pt>
                <c:pt idx="10">
                  <c:v>0.48685491723468033</c:v>
                </c:pt>
                <c:pt idx="11">
                  <c:v>0.19512195121951237</c:v>
                </c:pt>
                <c:pt idx="12">
                  <c:v>0.4930966469427922</c:v>
                </c:pt>
                <c:pt idx="13">
                  <c:v>1.5936254980079667</c:v>
                </c:pt>
                <c:pt idx="14">
                  <c:v>1.4970059880239361</c:v>
                </c:pt>
                <c:pt idx="15">
                  <c:v>1.2974051896207595</c:v>
                </c:pt>
                <c:pt idx="16">
                  <c:v>0.98522167487684609</c:v>
                </c:pt>
                <c:pt idx="17">
                  <c:v>0.49115913555990431</c:v>
                </c:pt>
                <c:pt idx="18">
                  <c:v>1.1857707509881354</c:v>
                </c:pt>
                <c:pt idx="19">
                  <c:v>1.5952143569292199</c:v>
                </c:pt>
                <c:pt idx="20">
                  <c:v>-2.3391812865497075</c:v>
                </c:pt>
                <c:pt idx="21">
                  <c:v>-4.059040590405905</c:v>
                </c:pt>
                <c:pt idx="22">
                  <c:v>-0.28462998102467552</c:v>
                </c:pt>
              </c:numCache>
            </c:numRef>
          </c:val>
          <c:smooth val="0"/>
          <c:extLst>
            <c:ext xmlns:c16="http://schemas.microsoft.com/office/drawing/2014/chart" uri="{C3380CC4-5D6E-409C-BE32-E72D297353CC}">
              <c16:uniqueId val="{00000004-BA4B-4490-B2E7-A0B9EB40BFE9}"/>
            </c:ext>
          </c:extLst>
        </c:ser>
        <c:dLbls>
          <c:showLegendKey val="0"/>
          <c:showVal val="0"/>
          <c:showCatName val="0"/>
          <c:showSerName val="0"/>
          <c:showPercent val="0"/>
          <c:showBubbleSize val="0"/>
        </c:dLbls>
        <c:smooth val="0"/>
        <c:axId val="871745407"/>
        <c:axId val="871741087"/>
      </c:lineChart>
      <c:catAx>
        <c:axId val="871745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71741087"/>
        <c:crosses val="autoZero"/>
        <c:auto val="1"/>
        <c:lblAlgn val="ctr"/>
        <c:lblOffset val="100"/>
        <c:noMultiLvlLbl val="0"/>
      </c:catAx>
      <c:valAx>
        <c:axId val="8717410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717454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'Labour share figurer'!$D$6</c:f>
              <c:strCache>
                <c:ptCount val="1"/>
                <c:pt idx="0">
                  <c:v>DK</c:v>
                </c:pt>
              </c:strCache>
            </c:strRef>
          </c:tx>
          <c:spPr>
            <a:ln w="28575" cap="rnd">
              <a:solidFill>
                <a:srgbClr val="FF0000"/>
              </a:solidFill>
              <a:round/>
            </a:ln>
            <a:effectLst/>
          </c:spPr>
          <c:marker>
            <c:symbol val="none"/>
          </c:marker>
          <c:cat>
            <c:numRef>
              <c:f>'Labour share figurer'!$E$4:$AA$4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'Labour share figurer'!$E$6:$AA$6</c:f>
              <c:numCache>
                <c:formatCode>0</c:formatCode>
                <c:ptCount val="23"/>
                <c:pt idx="0">
                  <c:v>59.930630294634767</c:v>
                </c:pt>
                <c:pt idx="1">
                  <c:v>61.480559956367046</c:v>
                </c:pt>
                <c:pt idx="2">
                  <c:v>60.675531941963492</c:v>
                </c:pt>
                <c:pt idx="3">
                  <c:v>62.49071980650929</c:v>
                </c:pt>
                <c:pt idx="4">
                  <c:v>61.752221331027798</c:v>
                </c:pt>
                <c:pt idx="5">
                  <c:v>64.020777887214734</c:v>
                </c:pt>
                <c:pt idx="6">
                  <c:v>62.242108945084077</c:v>
                </c:pt>
                <c:pt idx="7">
                  <c:v>65.033755335171477</c:v>
                </c:pt>
                <c:pt idx="8">
                  <c:v>66.078424873214232</c:v>
                </c:pt>
                <c:pt idx="9">
                  <c:v>65.667023974482987</c:v>
                </c:pt>
                <c:pt idx="10">
                  <c:v>61.031034569834098</c:v>
                </c:pt>
                <c:pt idx="11">
                  <c:v>60.834550928150463</c:v>
                </c:pt>
                <c:pt idx="12">
                  <c:v>57.21633783316026</c:v>
                </c:pt>
                <c:pt idx="13">
                  <c:v>54.422594694470106</c:v>
                </c:pt>
                <c:pt idx="14">
                  <c:v>53.483465974379705</c:v>
                </c:pt>
                <c:pt idx="15">
                  <c:v>51.404516624567464</c:v>
                </c:pt>
                <c:pt idx="16">
                  <c:v>49.622635972827446</c:v>
                </c:pt>
                <c:pt idx="17">
                  <c:v>49.111115005783589</c:v>
                </c:pt>
                <c:pt idx="18">
                  <c:v>48.255550582522957</c:v>
                </c:pt>
                <c:pt idx="19">
                  <c:v>47.012691076223923</c:v>
                </c:pt>
                <c:pt idx="20">
                  <c:v>49.261901481573581</c:v>
                </c:pt>
              </c:numCache>
            </c:numRef>
          </c:val>
          <c:smooth val="0"/>
          <c:extLst>
            <c:ext xmlns:c16="http://schemas.microsoft.com/office/drawing/2014/chart" uri="{C3380CC4-5D6E-409C-BE32-E72D297353CC}">
              <c16:uniqueId val="{00000000-4C0A-45D1-A299-8EB064FFE204}"/>
            </c:ext>
          </c:extLst>
        </c:ser>
        <c:ser>
          <c:idx val="1"/>
          <c:order val="1"/>
          <c:tx>
            <c:strRef>
              <c:f>'Labour share figurer'!$D$7</c:f>
              <c:strCache>
                <c:ptCount val="1"/>
                <c:pt idx="0">
                  <c:v>FI</c:v>
                </c:pt>
              </c:strCache>
            </c:strRef>
          </c:tx>
          <c:spPr>
            <a:ln w="28575" cap="rnd">
              <a:solidFill>
                <a:srgbClr val="00B0F0"/>
              </a:solidFill>
              <a:round/>
            </a:ln>
            <a:effectLst/>
          </c:spPr>
          <c:marker>
            <c:symbol val="none"/>
          </c:marker>
          <c:cat>
            <c:numRef>
              <c:f>'Labour share figurer'!$E$4:$AA$4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'Labour share figurer'!$E$7:$AA$7</c:f>
              <c:numCache>
                <c:formatCode>0</c:formatCode>
                <c:ptCount val="23"/>
                <c:pt idx="0">
                  <c:v>47.664714272707961</c:v>
                </c:pt>
                <c:pt idx="1">
                  <c:v>47.827742785996783</c:v>
                </c:pt>
                <c:pt idx="2">
                  <c:v>47.78383154174643</c:v>
                </c:pt>
                <c:pt idx="3">
                  <c:v>47.638492718810987</c:v>
                </c:pt>
                <c:pt idx="4">
                  <c:v>47.405046636063275</c:v>
                </c:pt>
                <c:pt idx="5">
                  <c:v>47.980766478720057</c:v>
                </c:pt>
                <c:pt idx="6">
                  <c:v>46.93450013259082</c:v>
                </c:pt>
                <c:pt idx="7">
                  <c:v>44.793352496437109</c:v>
                </c:pt>
                <c:pt idx="8">
                  <c:v>46.70925568266231</c:v>
                </c:pt>
                <c:pt idx="9">
                  <c:v>56.131374814325795</c:v>
                </c:pt>
                <c:pt idx="10">
                  <c:v>51.722733821963288</c:v>
                </c:pt>
                <c:pt idx="11">
                  <c:v>53.360665921232453</c:v>
                </c:pt>
                <c:pt idx="12">
                  <c:v>60.197447628220566</c:v>
                </c:pt>
                <c:pt idx="13">
                  <c:v>57.150087731137809</c:v>
                </c:pt>
                <c:pt idx="14">
                  <c:v>55.946768315110177</c:v>
                </c:pt>
                <c:pt idx="15">
                  <c:v>54.444122289874684</c:v>
                </c:pt>
                <c:pt idx="16">
                  <c:v>53.565003314080109</c:v>
                </c:pt>
                <c:pt idx="17">
                  <c:v>48.953488372093027</c:v>
                </c:pt>
                <c:pt idx="18">
                  <c:v>50.842333881192772</c:v>
                </c:pt>
                <c:pt idx="19">
                  <c:v>50.979201018253349</c:v>
                </c:pt>
                <c:pt idx="20">
                  <c:v>50.630301602262016</c:v>
                </c:pt>
                <c:pt idx="21">
                  <c:v>50.183728462941289</c:v>
                </c:pt>
                <c:pt idx="22">
                  <c:v>46.598525469168898</c:v>
                </c:pt>
              </c:numCache>
            </c:numRef>
          </c:val>
          <c:smooth val="0"/>
          <c:extLst>
            <c:ext xmlns:c16="http://schemas.microsoft.com/office/drawing/2014/chart" uri="{C3380CC4-5D6E-409C-BE32-E72D297353CC}">
              <c16:uniqueId val="{00000001-4C0A-45D1-A299-8EB064FFE204}"/>
            </c:ext>
          </c:extLst>
        </c:ser>
        <c:ser>
          <c:idx val="2"/>
          <c:order val="2"/>
          <c:tx>
            <c:strRef>
              <c:f>'Labour share figurer'!$D$8</c:f>
              <c:strCache>
                <c:ptCount val="1"/>
                <c:pt idx="0">
                  <c:v>SE</c:v>
                </c:pt>
              </c:strCache>
            </c:strRef>
          </c:tx>
          <c:spPr>
            <a:ln w="28575" cap="rnd">
              <a:solidFill>
                <a:srgbClr val="FFFF00"/>
              </a:solidFill>
              <a:round/>
            </a:ln>
            <a:effectLst/>
          </c:spPr>
          <c:marker>
            <c:symbol val="none"/>
          </c:marker>
          <c:cat>
            <c:numRef>
              <c:f>'Labour share figurer'!$E$4:$AA$4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'Labour share figurer'!$E$8:$AA$8</c:f>
              <c:numCache>
                <c:formatCode>0</c:formatCode>
                <c:ptCount val="23"/>
                <c:pt idx="0">
                  <c:v>44.727913927815877</c:v>
                </c:pt>
                <c:pt idx="1">
                  <c:v>47.730971229525743</c:v>
                </c:pt>
                <c:pt idx="2">
                  <c:v>47.937841520199029</c:v>
                </c:pt>
                <c:pt idx="3">
                  <c:v>46.924129691645817</c:v>
                </c:pt>
                <c:pt idx="4">
                  <c:v>47.428176683327237</c:v>
                </c:pt>
                <c:pt idx="5">
                  <c:v>46.913288084494546</c:v>
                </c:pt>
                <c:pt idx="6">
                  <c:v>45.007003978259654</c:v>
                </c:pt>
                <c:pt idx="7">
                  <c:v>45.254539144092185</c:v>
                </c:pt>
                <c:pt idx="8">
                  <c:v>49.660356347438757</c:v>
                </c:pt>
                <c:pt idx="9">
                  <c:v>53.803920714915478</c:v>
                </c:pt>
                <c:pt idx="10">
                  <c:v>46.873122809151944</c:v>
                </c:pt>
                <c:pt idx="11">
                  <c:v>47.712821869877466</c:v>
                </c:pt>
                <c:pt idx="12">
                  <c:v>50.455710049802803</c:v>
                </c:pt>
                <c:pt idx="13">
                  <c:v>51.41534196478603</c:v>
                </c:pt>
                <c:pt idx="14">
                  <c:v>50.952422037521693</c:v>
                </c:pt>
                <c:pt idx="15">
                  <c:v>46.346205602059193</c:v>
                </c:pt>
                <c:pt idx="16">
                  <c:v>47.136026097780828</c:v>
                </c:pt>
                <c:pt idx="17">
                  <c:v>47.40970684557351</c:v>
                </c:pt>
                <c:pt idx="18">
                  <c:v>47.753012565202049</c:v>
                </c:pt>
                <c:pt idx="19">
                  <c:v>47.556814842539289</c:v>
                </c:pt>
                <c:pt idx="20">
                  <c:v>49.086953380271517</c:v>
                </c:pt>
                <c:pt idx="21">
                  <c:v>45.548961013423877</c:v>
                </c:pt>
                <c:pt idx="22">
                  <c:v>41.562083076126569</c:v>
                </c:pt>
              </c:numCache>
            </c:numRef>
          </c:val>
          <c:smooth val="0"/>
          <c:extLst>
            <c:ext xmlns:c16="http://schemas.microsoft.com/office/drawing/2014/chart" uri="{C3380CC4-5D6E-409C-BE32-E72D297353CC}">
              <c16:uniqueId val="{00000002-4C0A-45D1-A299-8EB064FFE204}"/>
            </c:ext>
          </c:extLst>
        </c:ser>
        <c:ser>
          <c:idx val="3"/>
          <c:order val="3"/>
          <c:tx>
            <c:strRef>
              <c:f>'Labour share figurer'!$D$9</c:f>
              <c:strCache>
                <c:ptCount val="1"/>
                <c:pt idx="0">
                  <c:v>NO</c:v>
                </c:pt>
              </c:strCache>
            </c:strRef>
          </c:tx>
          <c:spPr>
            <a:ln w="28575" cap="rnd">
              <a:solidFill>
                <a:srgbClr val="005A98"/>
              </a:solidFill>
              <a:round/>
            </a:ln>
            <a:effectLst/>
          </c:spPr>
          <c:marker>
            <c:symbol val="none"/>
          </c:marker>
          <c:cat>
            <c:numRef>
              <c:f>'Labour share figurer'!$E$4:$AA$4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'Labour share figurer'!$E$9:$AA$9</c:f>
              <c:numCache>
                <c:formatCode>0</c:formatCode>
                <c:ptCount val="23"/>
                <c:pt idx="0">
                  <c:v>66.079444772593035</c:v>
                </c:pt>
                <c:pt idx="1">
                  <c:v>64.651777697653529</c:v>
                </c:pt>
                <c:pt idx="2">
                  <c:v>66.934293097083795</c:v>
                </c:pt>
                <c:pt idx="3">
                  <c:v>63.704720087815595</c:v>
                </c:pt>
                <c:pt idx="4">
                  <c:v>61.920671302591202</c:v>
                </c:pt>
                <c:pt idx="5">
                  <c:v>62.122226007397316</c:v>
                </c:pt>
                <c:pt idx="6">
                  <c:v>62.183960614457511</c:v>
                </c:pt>
                <c:pt idx="7">
                  <c:v>62.945808009578222</c:v>
                </c:pt>
                <c:pt idx="8">
                  <c:v>64.254204038609814</c:v>
                </c:pt>
                <c:pt idx="9">
                  <c:v>69.190811053942269</c:v>
                </c:pt>
                <c:pt idx="10">
                  <c:v>65.278891186025916</c:v>
                </c:pt>
                <c:pt idx="11">
                  <c:v>67.186238297916674</c:v>
                </c:pt>
                <c:pt idx="12">
                  <c:v>68.492657716644842</c:v>
                </c:pt>
                <c:pt idx="13">
                  <c:v>69.510277705433538</c:v>
                </c:pt>
                <c:pt idx="14">
                  <c:v>68.788317145415718</c:v>
                </c:pt>
                <c:pt idx="15">
                  <c:v>68.055619292368405</c:v>
                </c:pt>
                <c:pt idx="16">
                  <c:v>69.450993600538908</c:v>
                </c:pt>
                <c:pt idx="17">
                  <c:v>66.763913407042637</c:v>
                </c:pt>
                <c:pt idx="18">
                  <c:v>68.203596654360226</c:v>
                </c:pt>
                <c:pt idx="19">
                  <c:v>69.9852932056382</c:v>
                </c:pt>
                <c:pt idx="20">
                  <c:v>68.110819746893171</c:v>
                </c:pt>
                <c:pt idx="21">
                  <c:v>66.753431822768434</c:v>
                </c:pt>
                <c:pt idx="22">
                  <c:v>62.183345197776674</c:v>
                </c:pt>
              </c:numCache>
            </c:numRef>
          </c:val>
          <c:smooth val="0"/>
          <c:extLst>
            <c:ext xmlns:c16="http://schemas.microsoft.com/office/drawing/2014/chart" uri="{C3380CC4-5D6E-409C-BE32-E72D297353CC}">
              <c16:uniqueId val="{00000003-4C0A-45D1-A299-8EB064FFE204}"/>
            </c:ext>
          </c:extLst>
        </c:ser>
        <c:ser>
          <c:idx val="4"/>
          <c:order val="4"/>
          <c:tx>
            <c:strRef>
              <c:f>'Labour share figurer'!$D$10</c:f>
              <c:strCache>
                <c:ptCount val="1"/>
                <c:pt idx="0">
                  <c:v>EA</c:v>
                </c:pt>
              </c:strCache>
            </c:strRef>
          </c:tx>
          <c:spPr>
            <a:ln w="28575" cap="rnd">
              <a:solidFill>
                <a:srgbClr val="70AD47"/>
              </a:solidFill>
              <a:round/>
            </a:ln>
            <a:effectLst/>
          </c:spPr>
          <c:marker>
            <c:symbol val="none"/>
          </c:marker>
          <c:cat>
            <c:numRef>
              <c:f>'Labour share figurer'!$E$4:$AA$4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'Labour share figurer'!$E$10:$AA$10</c:f>
              <c:numCache>
                <c:formatCode>0</c:formatCode>
                <c:ptCount val="23"/>
                <c:pt idx="0">
                  <c:v>59.927117824554443</c:v>
                </c:pt>
                <c:pt idx="1">
                  <c:v>59.876382350921631</c:v>
                </c:pt>
                <c:pt idx="2">
                  <c:v>60.216349363327026</c:v>
                </c:pt>
                <c:pt idx="3">
                  <c:v>60.484778881072998</c:v>
                </c:pt>
                <c:pt idx="4">
                  <c:v>59.311670064926147</c:v>
                </c:pt>
                <c:pt idx="5">
                  <c:v>58.8786780834198</c:v>
                </c:pt>
                <c:pt idx="6">
                  <c:v>57.75909423828125</c:v>
                </c:pt>
                <c:pt idx="7">
                  <c:v>56.53836727142334</c:v>
                </c:pt>
                <c:pt idx="8">
                  <c:v>59.224700927734375</c:v>
                </c:pt>
                <c:pt idx="9">
                  <c:v>64.015603065490723</c:v>
                </c:pt>
                <c:pt idx="10">
                  <c:v>59.893286228179932</c:v>
                </c:pt>
                <c:pt idx="11">
                  <c:v>59.098547697067261</c:v>
                </c:pt>
                <c:pt idx="12">
                  <c:v>60.119330883026123</c:v>
                </c:pt>
                <c:pt idx="13">
                  <c:v>60.669004917144775</c:v>
                </c:pt>
                <c:pt idx="14">
                  <c:v>59.867411851882935</c:v>
                </c:pt>
                <c:pt idx="15">
                  <c:v>58.556044101715088</c:v>
                </c:pt>
                <c:pt idx="16">
                  <c:v>57.766890525817871</c:v>
                </c:pt>
                <c:pt idx="17">
                  <c:v>57.71135687828064</c:v>
                </c:pt>
                <c:pt idx="18">
                  <c:v>58.651113510131836</c:v>
                </c:pt>
                <c:pt idx="19">
                  <c:v>59.17503833770752</c:v>
                </c:pt>
                <c:pt idx="20">
                  <c:v>60.706406831741333</c:v>
                </c:pt>
                <c:pt idx="21">
                  <c:v>58.155941963195801</c:v>
                </c:pt>
                <c:pt idx="22">
                  <c:v>56.37814998626709</c:v>
                </c:pt>
              </c:numCache>
            </c:numRef>
          </c:val>
          <c:smooth val="0"/>
          <c:extLst>
            <c:ext xmlns:c16="http://schemas.microsoft.com/office/drawing/2014/chart" uri="{C3380CC4-5D6E-409C-BE32-E72D297353CC}">
              <c16:uniqueId val="{00000004-4C0A-45D1-A299-8EB064FFE204}"/>
            </c:ext>
          </c:extLst>
        </c:ser>
        <c:dLbls>
          <c:showLegendKey val="0"/>
          <c:showVal val="0"/>
          <c:showCatName val="0"/>
          <c:showSerName val="0"/>
          <c:showPercent val="0"/>
          <c:showBubbleSize val="0"/>
        </c:dLbls>
        <c:smooth val="0"/>
        <c:axId val="489712687"/>
        <c:axId val="489714127"/>
      </c:lineChart>
      <c:catAx>
        <c:axId val="489712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89714127"/>
        <c:crosses val="autoZero"/>
        <c:auto val="1"/>
        <c:lblAlgn val="ctr"/>
        <c:lblOffset val="100"/>
        <c:tickLblSkip val="2"/>
        <c:noMultiLvlLbl val="0"/>
      </c:catAx>
      <c:valAx>
        <c:axId val="4897141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89712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'Labour share figurer'!$AD$6</c:f>
              <c:strCache>
                <c:ptCount val="1"/>
                <c:pt idx="0">
                  <c:v>DK</c:v>
                </c:pt>
              </c:strCache>
            </c:strRef>
          </c:tx>
          <c:spPr>
            <a:ln w="28575" cap="rnd">
              <a:solidFill>
                <a:srgbClr val="FF0000"/>
              </a:solidFill>
              <a:round/>
            </a:ln>
            <a:effectLst/>
          </c:spPr>
          <c:marker>
            <c:symbol val="none"/>
          </c:marker>
          <c:cat>
            <c:numRef>
              <c:f>'Labour share figurer'!$AE$4:$BA$4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'Labour share figurer'!$AE$6:$BA$6</c:f>
              <c:numCache>
                <c:formatCode>General</c:formatCode>
                <c:ptCount val="23"/>
                <c:pt idx="0">
                  <c:v>0</c:v>
                </c:pt>
                <c:pt idx="1">
                  <c:v>2.5533294977016605E-2</c:v>
                </c:pt>
                <c:pt idx="2">
                  <c:v>1.2352787048677856E-2</c:v>
                </c:pt>
                <c:pt idx="3">
                  <c:v>4.1830331026385982E-2</c:v>
                </c:pt>
                <c:pt idx="4">
                  <c:v>2.9942216237772639E-2</c:v>
                </c:pt>
                <c:pt idx="5">
                  <c:v>6.6019953563125094E-2</c:v>
                </c:pt>
                <c:pt idx="6">
                  <c:v>3.7844031779785861E-2</c:v>
                </c:pt>
                <c:pt idx="7">
                  <c:v>8.1718716352765036E-2</c:v>
                </c:pt>
                <c:pt idx="8">
                  <c:v>9.7654560668779061E-2</c:v>
                </c:pt>
                <c:pt idx="9">
                  <c:v>9.1409149695444697E-2</c:v>
                </c:pt>
                <c:pt idx="10">
                  <c:v>1.8194766641562811E-2</c:v>
                </c:pt>
                <c:pt idx="11">
                  <c:v>1.4970167815989468E-2</c:v>
                </c:pt>
                <c:pt idx="12">
                  <c:v>-4.6348247539279165E-2</c:v>
                </c:pt>
                <c:pt idx="13">
                  <c:v>-9.6408320316464596E-2</c:v>
                </c:pt>
                <c:pt idx="14">
                  <c:v>-0.11381517266623707</c:v>
                </c:pt>
                <c:pt idx="15">
                  <c:v>-0.15346169092152034</c:v>
                </c:pt>
                <c:pt idx="16">
                  <c:v>-0.18874063154992987</c:v>
                </c:pt>
                <c:pt idx="17">
                  <c:v>-0.1991023475506509</c:v>
                </c:pt>
                <c:pt idx="18">
                  <c:v>-0.21667687244702794</c:v>
                </c:pt>
                <c:pt idx="19">
                  <c:v>-0.24277014343659381</c:v>
                </c:pt>
                <c:pt idx="20">
                  <c:v>-0.19603673872285285</c:v>
                </c:pt>
              </c:numCache>
            </c:numRef>
          </c:val>
          <c:smooth val="0"/>
          <c:extLst>
            <c:ext xmlns:c16="http://schemas.microsoft.com/office/drawing/2014/chart" uri="{C3380CC4-5D6E-409C-BE32-E72D297353CC}">
              <c16:uniqueId val="{00000000-A4DB-4E97-B74D-F470D617AEC6}"/>
            </c:ext>
          </c:extLst>
        </c:ser>
        <c:ser>
          <c:idx val="1"/>
          <c:order val="1"/>
          <c:tx>
            <c:strRef>
              <c:f>'Labour share figurer'!$AD$7</c:f>
              <c:strCache>
                <c:ptCount val="1"/>
                <c:pt idx="0">
                  <c:v>FI</c:v>
                </c:pt>
              </c:strCache>
            </c:strRef>
          </c:tx>
          <c:spPr>
            <a:ln w="28575" cap="rnd">
              <a:solidFill>
                <a:srgbClr val="00B0F0"/>
              </a:solidFill>
              <a:round/>
            </a:ln>
            <a:effectLst/>
          </c:spPr>
          <c:marker>
            <c:symbol val="none"/>
          </c:marker>
          <c:cat>
            <c:numRef>
              <c:f>'Labour share figurer'!$AE$4:$BA$4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'Labour share figurer'!$AE$7:$BA$7</c:f>
              <c:numCache>
                <c:formatCode>General</c:formatCode>
                <c:ptCount val="23"/>
                <c:pt idx="0">
                  <c:v>0</c:v>
                </c:pt>
                <c:pt idx="1">
                  <c:v>3.414482707889088E-3</c:v>
                </c:pt>
                <c:pt idx="2">
                  <c:v>2.4959485733673332E-3</c:v>
                </c:pt>
                <c:pt idx="3">
                  <c:v>-5.5027643636323877E-4</c:v>
                </c:pt>
                <c:pt idx="4">
                  <c:v>-5.4626892902672163E-3</c:v>
                </c:pt>
                <c:pt idx="5">
                  <c:v>6.608850807729473E-3</c:v>
                </c:pt>
                <c:pt idx="6">
                  <c:v>-1.5438365912680739E-2</c:v>
                </c:pt>
                <c:pt idx="7">
                  <c:v>-6.2131634803805721E-2</c:v>
                </c:pt>
                <c:pt idx="8">
                  <c:v>-2.0249041912647495E-2</c:v>
                </c:pt>
                <c:pt idx="9">
                  <c:v>0.16350354061117478</c:v>
                </c:pt>
                <c:pt idx="10">
                  <c:v>8.1706029187532392E-2</c:v>
                </c:pt>
                <c:pt idx="11">
                  <c:v>0.11288249987359028</c:v>
                </c:pt>
                <c:pt idx="12">
                  <c:v>0.23343857177450703</c:v>
                </c:pt>
                <c:pt idx="13">
                  <c:v>0.18148954390354213</c:v>
                </c:pt>
                <c:pt idx="14">
                  <c:v>0.16020929142024373</c:v>
                </c:pt>
                <c:pt idx="15">
                  <c:v>0.13298351518707308</c:v>
                </c:pt>
                <c:pt idx="16">
                  <c:v>0.11670455014564966</c:v>
                </c:pt>
                <c:pt idx="17">
                  <c:v>2.6679248983796363E-2</c:v>
                </c:pt>
                <c:pt idx="18">
                  <c:v>6.4537970224859881E-2</c:v>
                </c:pt>
                <c:pt idx="19">
                  <c:v>6.7226344931213697E-2</c:v>
                </c:pt>
                <c:pt idx="20">
                  <c:v>6.0358861512153521E-2</c:v>
                </c:pt>
                <c:pt idx="21">
                  <c:v>5.1499458511358336E-2</c:v>
                </c:pt>
                <c:pt idx="22">
                  <c:v>-2.2622483100663643E-2</c:v>
                </c:pt>
              </c:numCache>
            </c:numRef>
          </c:val>
          <c:smooth val="0"/>
          <c:extLst>
            <c:ext xmlns:c16="http://schemas.microsoft.com/office/drawing/2014/chart" uri="{C3380CC4-5D6E-409C-BE32-E72D297353CC}">
              <c16:uniqueId val="{00000001-A4DB-4E97-B74D-F470D617AEC6}"/>
            </c:ext>
          </c:extLst>
        </c:ser>
        <c:ser>
          <c:idx val="2"/>
          <c:order val="2"/>
          <c:tx>
            <c:strRef>
              <c:f>'Labour share figurer'!$AD$8</c:f>
              <c:strCache>
                <c:ptCount val="1"/>
                <c:pt idx="0">
                  <c:v>SE</c:v>
                </c:pt>
              </c:strCache>
            </c:strRef>
          </c:tx>
          <c:spPr>
            <a:ln w="28575" cap="rnd">
              <a:solidFill>
                <a:srgbClr val="FFFF00"/>
              </a:solidFill>
              <a:round/>
            </a:ln>
            <a:effectLst/>
          </c:spPr>
          <c:marker>
            <c:symbol val="none"/>
          </c:marker>
          <c:cat>
            <c:numRef>
              <c:f>'Labour share figurer'!$AE$4:$BA$4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'Labour share figurer'!$AE$8:$BA$8</c:f>
              <c:numCache>
                <c:formatCode>General</c:formatCode>
                <c:ptCount val="23"/>
                <c:pt idx="0">
                  <c:v>0</c:v>
                </c:pt>
                <c:pt idx="1">
                  <c:v>6.498269984334594E-2</c:v>
                </c:pt>
                <c:pt idx="2">
                  <c:v>6.9307424006968391E-2</c:v>
                </c:pt>
                <c:pt idx="3">
                  <c:v>4.7934256129921478E-2</c:v>
                </c:pt>
                <c:pt idx="4">
                  <c:v>5.8618717508961311E-2</c:v>
                </c:pt>
                <c:pt idx="5">
                  <c:v>4.7703183974347661E-2</c:v>
                </c:pt>
                <c:pt idx="6">
                  <c:v>6.2203422446982974E-3</c:v>
                </c:pt>
                <c:pt idx="7">
                  <c:v>1.1705198315905331E-2</c:v>
                </c:pt>
                <c:pt idx="8">
                  <c:v>0.10460917642242573</c:v>
                </c:pt>
                <c:pt idx="9">
                  <c:v>0.18474856087867175</c:v>
                </c:pt>
                <c:pt idx="10">
                  <c:v>4.684665737490841E-2</c:v>
                </c:pt>
                <c:pt idx="11">
                  <c:v>6.4602384701257495E-2</c:v>
                </c:pt>
                <c:pt idx="12">
                  <c:v>0.12049814337415835</c:v>
                </c:pt>
                <c:pt idx="13">
                  <c:v>0.13933883035378059</c:v>
                </c:pt>
                <c:pt idx="14">
                  <c:v>0.13029451670040493</c:v>
                </c:pt>
                <c:pt idx="15">
                  <c:v>3.5541645251896001E-2</c:v>
                </c:pt>
                <c:pt idx="16">
                  <c:v>5.243981457420803E-2</c:v>
                </c:pt>
                <c:pt idx="17">
                  <c:v>5.8229214131197519E-2</c:v>
                </c:pt>
                <c:pt idx="18">
                  <c:v>6.5444375931666493E-2</c:v>
                </c:pt>
                <c:pt idx="19">
                  <c:v>6.1327318853067116E-2</c:v>
                </c:pt>
                <c:pt idx="20">
                  <c:v>9.2995504846816138E-2</c:v>
                </c:pt>
                <c:pt idx="21">
                  <c:v>1.8190034266051085E-2</c:v>
                </c:pt>
                <c:pt idx="22">
                  <c:v>-7.3409492261012982E-2</c:v>
                </c:pt>
              </c:numCache>
            </c:numRef>
          </c:val>
          <c:smooth val="0"/>
          <c:extLst>
            <c:ext xmlns:c16="http://schemas.microsoft.com/office/drawing/2014/chart" uri="{C3380CC4-5D6E-409C-BE32-E72D297353CC}">
              <c16:uniqueId val="{00000002-A4DB-4E97-B74D-F470D617AEC6}"/>
            </c:ext>
          </c:extLst>
        </c:ser>
        <c:ser>
          <c:idx val="3"/>
          <c:order val="3"/>
          <c:tx>
            <c:strRef>
              <c:f>'Labour share figurer'!$AD$9</c:f>
              <c:strCache>
                <c:ptCount val="1"/>
                <c:pt idx="0">
                  <c:v>NO</c:v>
                </c:pt>
              </c:strCache>
            </c:strRef>
          </c:tx>
          <c:spPr>
            <a:ln w="28575" cap="rnd">
              <a:solidFill>
                <a:srgbClr val="005A98"/>
              </a:solidFill>
              <a:round/>
            </a:ln>
            <a:effectLst/>
          </c:spPr>
          <c:marker>
            <c:symbol val="none"/>
          </c:marker>
          <c:cat>
            <c:numRef>
              <c:f>'Labour share figurer'!$AE$4:$BA$4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'Labour share figurer'!$AE$9:$BA$9</c:f>
              <c:numCache>
                <c:formatCode>General</c:formatCode>
                <c:ptCount val="23"/>
                <c:pt idx="0">
                  <c:v>0</c:v>
                </c:pt>
                <c:pt idx="1">
                  <c:v>-2.1842124728976751E-2</c:v>
                </c:pt>
                <c:pt idx="2">
                  <c:v>1.285371132089576E-2</c:v>
                </c:pt>
                <c:pt idx="3">
                  <c:v>-3.6599068282857569E-2</c:v>
                </c:pt>
                <c:pt idx="4">
                  <c:v>-6.5003656152802486E-2</c:v>
                </c:pt>
                <c:pt idx="5">
                  <c:v>-6.1753895198147842E-2</c:v>
                </c:pt>
                <c:pt idx="6">
                  <c:v>-6.0760628268907976E-2</c:v>
                </c:pt>
                <c:pt idx="7">
                  <c:v>-4.8583560934238192E-2</c:v>
                </c:pt>
                <c:pt idx="8">
                  <c:v>-2.8010572683360539E-2</c:v>
                </c:pt>
                <c:pt idx="9">
                  <c:v>4.6010338743034465E-2</c:v>
                </c:pt>
                <c:pt idx="10">
                  <c:v>-1.21890018222076E-2</c:v>
                </c:pt>
                <c:pt idx="11">
                  <c:v>1.661071249832994E-2</c:v>
                </c:pt>
                <c:pt idx="12">
                  <c:v>3.5868826079337592E-2</c:v>
                </c:pt>
                <c:pt idx="13">
                  <c:v>5.061689546557803E-2</c:v>
                </c:pt>
                <c:pt idx="14">
                  <c:v>4.0176194761595375E-2</c:v>
                </c:pt>
                <c:pt idx="15">
                  <c:v>2.9467574797525323E-2</c:v>
                </c:pt>
                <c:pt idx="16">
                  <c:v>4.976364897561452E-2</c:v>
                </c:pt>
                <c:pt idx="17">
                  <c:v>1.0304989288968258E-2</c:v>
                </c:pt>
                <c:pt idx="18">
                  <c:v>3.1639573500706328E-2</c:v>
                </c:pt>
                <c:pt idx="19">
                  <c:v>5.7427396087945691E-2</c:v>
                </c:pt>
                <c:pt idx="20">
                  <c:v>3.0278353987142584E-2</c:v>
                </c:pt>
                <c:pt idx="21">
                  <c:v>1.0147982208312201E-2</c:v>
                </c:pt>
                <c:pt idx="22">
                  <c:v>-6.0770525028781101E-2</c:v>
                </c:pt>
              </c:numCache>
            </c:numRef>
          </c:val>
          <c:smooth val="0"/>
          <c:extLst>
            <c:ext xmlns:c16="http://schemas.microsoft.com/office/drawing/2014/chart" uri="{C3380CC4-5D6E-409C-BE32-E72D297353CC}">
              <c16:uniqueId val="{00000003-A4DB-4E97-B74D-F470D617AEC6}"/>
            </c:ext>
          </c:extLst>
        </c:ser>
        <c:ser>
          <c:idx val="4"/>
          <c:order val="4"/>
          <c:tx>
            <c:strRef>
              <c:f>'Labour share figurer'!$AD$10</c:f>
              <c:strCache>
                <c:ptCount val="1"/>
                <c:pt idx="0">
                  <c:v>EA</c:v>
                </c:pt>
              </c:strCache>
            </c:strRef>
          </c:tx>
          <c:spPr>
            <a:ln w="28575" cap="rnd">
              <a:solidFill>
                <a:srgbClr val="70AD47"/>
              </a:solidFill>
              <a:round/>
            </a:ln>
            <a:effectLst/>
          </c:spPr>
          <c:marker>
            <c:symbol val="none"/>
          </c:marker>
          <c:cat>
            <c:numRef>
              <c:f>'Labour share figurer'!$AE$4:$BA$4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'Labour share figurer'!$AE$10:$BA$10</c:f>
              <c:numCache>
                <c:formatCode>General</c:formatCode>
                <c:ptCount val="23"/>
                <c:pt idx="0">
                  <c:v>0</c:v>
                </c:pt>
                <c:pt idx="1">
                  <c:v>-8.4697820333330437E-4</c:v>
                </c:pt>
                <c:pt idx="2">
                  <c:v>4.814778602475759E-3</c:v>
                </c:pt>
                <c:pt idx="3">
                  <c:v>9.2626236920100389E-3</c:v>
                </c:pt>
                <c:pt idx="4">
                  <c:v>-1.0323037259094239E-2</c:v>
                </c:pt>
                <c:pt idx="5">
                  <c:v>-1.7650097808716663E-2</c:v>
                </c:pt>
                <c:pt idx="6">
                  <c:v>-3.684830795701835E-2</c:v>
                </c:pt>
                <c:pt idx="7">
                  <c:v>-5.8209646506682304E-2</c:v>
                </c:pt>
                <c:pt idx="8">
                  <c:v>-1.1790420680211735E-2</c:v>
                </c:pt>
                <c:pt idx="9">
                  <c:v>6.5997730595652462E-2</c:v>
                </c:pt>
                <c:pt idx="10">
                  <c:v>-5.6470511080352281E-4</c:v>
                </c:pt>
                <c:pt idx="11">
                  <c:v>-1.3922770492002615E-2</c:v>
                </c:pt>
                <c:pt idx="12">
                  <c:v>3.202314184220362E-3</c:v>
                </c:pt>
                <c:pt idx="13">
                  <c:v>1.230381930780393E-2</c:v>
                </c:pt>
                <c:pt idx="14">
                  <c:v>-9.9680641138688401E-4</c:v>
                </c:pt>
                <c:pt idx="15">
                  <c:v>-2.3144806485048738E-2</c:v>
                </c:pt>
                <c:pt idx="16">
                  <c:v>-3.6713337671945769E-2</c:v>
                </c:pt>
                <c:pt idx="17">
                  <c:v>-3.7675140488781331E-2</c:v>
                </c:pt>
                <c:pt idx="18">
                  <c:v>-2.1522560349177756E-2</c:v>
                </c:pt>
                <c:pt idx="19">
                  <c:v>-1.262931767859141E-2</c:v>
                </c:pt>
                <c:pt idx="20">
                  <c:v>1.2920120669694148E-2</c:v>
                </c:pt>
                <c:pt idx="21">
                  <c:v>-3.0001063830165077E-2</c:v>
                </c:pt>
                <c:pt idx="22">
                  <c:v>-6.1047449098687499E-2</c:v>
                </c:pt>
              </c:numCache>
            </c:numRef>
          </c:val>
          <c:smooth val="0"/>
          <c:extLst>
            <c:ext xmlns:c16="http://schemas.microsoft.com/office/drawing/2014/chart" uri="{C3380CC4-5D6E-409C-BE32-E72D297353CC}">
              <c16:uniqueId val="{00000004-A4DB-4E97-B74D-F470D617AEC6}"/>
            </c:ext>
          </c:extLst>
        </c:ser>
        <c:dLbls>
          <c:showLegendKey val="0"/>
          <c:showVal val="0"/>
          <c:showCatName val="0"/>
          <c:showSerName val="0"/>
          <c:showPercent val="0"/>
          <c:showBubbleSize val="0"/>
        </c:dLbls>
        <c:smooth val="0"/>
        <c:axId val="844694256"/>
        <c:axId val="844694736"/>
      </c:lineChart>
      <c:catAx>
        <c:axId val="84469425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44694736"/>
        <c:crosses val="autoZero"/>
        <c:auto val="1"/>
        <c:lblAlgn val="ctr"/>
        <c:lblOffset val="100"/>
        <c:tickLblSkip val="2"/>
        <c:noMultiLvlLbl val="0"/>
      </c:catAx>
      <c:valAx>
        <c:axId val="844694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44694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525581189510846E-2"/>
          <c:y val="4.583333333333333E-2"/>
          <c:w val="0.91785747112350258"/>
          <c:h val="0.71924737532808403"/>
        </c:manualLayout>
      </c:layout>
      <c:lineChart>
        <c:grouping val="standard"/>
        <c:varyColors val="0"/>
        <c:ser>
          <c:idx val="0"/>
          <c:order val="0"/>
          <c:tx>
            <c:strRef>
              <c:f>'1b. Nominal Wage Cost log-incre'!$D$13</c:f>
              <c:strCache>
                <c:ptCount val="1"/>
                <c:pt idx="0">
                  <c:v>DK</c:v>
                </c:pt>
              </c:strCache>
            </c:strRef>
          </c:tx>
          <c:spPr>
            <a:ln w="28575" cap="rnd">
              <a:solidFill>
                <a:srgbClr val="FF0000"/>
              </a:solidFill>
              <a:round/>
            </a:ln>
            <a:effectLst/>
          </c:spPr>
          <c:marker>
            <c:symbol val="none"/>
          </c:marker>
          <c:cat>
            <c:numRef>
              <c:f>'1b. Nominal Wage Cost log-incre'!$E$12:$AA$12</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'1b. Nominal Wage Cost log-incre'!$E$13:$AA$13</c:f>
              <c:numCache>
                <c:formatCode>General</c:formatCode>
                <c:ptCount val="23"/>
                <c:pt idx="0">
                  <c:v>0</c:v>
                </c:pt>
                <c:pt idx="1">
                  <c:v>3.8777071481714886E-2</c:v>
                </c:pt>
                <c:pt idx="2">
                  <c:v>8.2194743443009033E-2</c:v>
                </c:pt>
                <c:pt idx="3">
                  <c:v>0.11356400711065406</c:v>
                </c:pt>
                <c:pt idx="4">
                  <c:v>0.13394316944730622</c:v>
                </c:pt>
                <c:pt idx="5">
                  <c:v>0.1651513759011472</c:v>
                </c:pt>
                <c:pt idx="6">
                  <c:v>0.20351224377359373</c:v>
                </c:pt>
                <c:pt idx="7">
                  <c:v>0.24304308253022883</c:v>
                </c:pt>
                <c:pt idx="8">
                  <c:v>0.26855467018763751</c:v>
                </c:pt>
                <c:pt idx="9">
                  <c:v>0.29465932218136437</c:v>
                </c:pt>
                <c:pt idx="10">
                  <c:v>0.32248930942258475</c:v>
                </c:pt>
                <c:pt idx="11">
                  <c:v>0.3343518447324047</c:v>
                </c:pt>
                <c:pt idx="12">
                  <c:v>0.35188590002392961</c:v>
                </c:pt>
                <c:pt idx="13">
                  <c:v>0.3713931164127538</c:v>
                </c:pt>
                <c:pt idx="14">
                  <c:v>0.38829492721535702</c:v>
                </c:pt>
                <c:pt idx="15">
                  <c:v>0.41584487898358763</c:v>
                </c:pt>
                <c:pt idx="16">
                  <c:v>0.43094764716934442</c:v>
                </c:pt>
                <c:pt idx="17">
                  <c:v>0.45527460039345596</c:v>
                </c:pt>
                <c:pt idx="18">
                  <c:v>0.48614124837398331</c:v>
                </c:pt>
                <c:pt idx="19">
                  <c:v>0.4992264879226388</c:v>
                </c:pt>
                <c:pt idx="20">
                  <c:v>0.53844720107592015</c:v>
                </c:pt>
                <c:pt idx="21">
                  <c:v>0.56968495157120025</c:v>
                </c:pt>
                <c:pt idx="22">
                  <c:v>0.59726022819400415</c:v>
                </c:pt>
              </c:numCache>
            </c:numRef>
          </c:val>
          <c:smooth val="0"/>
          <c:extLst>
            <c:ext xmlns:c16="http://schemas.microsoft.com/office/drawing/2014/chart" uri="{C3380CC4-5D6E-409C-BE32-E72D297353CC}">
              <c16:uniqueId val="{00000000-1B20-42B9-A18C-75D7A5BB9FB7}"/>
            </c:ext>
          </c:extLst>
        </c:ser>
        <c:ser>
          <c:idx val="1"/>
          <c:order val="1"/>
          <c:tx>
            <c:strRef>
              <c:f>'1b. Nominal Wage Cost log-incre'!$D$14</c:f>
              <c:strCache>
                <c:ptCount val="1"/>
                <c:pt idx="0">
                  <c:v>FI</c:v>
                </c:pt>
              </c:strCache>
            </c:strRef>
          </c:tx>
          <c:spPr>
            <a:ln w="28575" cap="rnd">
              <a:solidFill>
                <a:srgbClr val="00B0F0"/>
              </a:solidFill>
              <a:round/>
            </a:ln>
            <a:effectLst/>
          </c:spPr>
          <c:marker>
            <c:symbol val="none"/>
          </c:marker>
          <c:cat>
            <c:numRef>
              <c:f>'1b. Nominal Wage Cost log-incre'!$E$12:$AA$12</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'1b. Nominal Wage Cost log-incre'!$E$14:$AA$14</c:f>
              <c:numCache>
                <c:formatCode>General</c:formatCode>
                <c:ptCount val="23"/>
                <c:pt idx="0">
                  <c:v>0</c:v>
                </c:pt>
                <c:pt idx="1">
                  <c:v>4.6810417843990371E-2</c:v>
                </c:pt>
                <c:pt idx="2">
                  <c:v>8.1270756458597743E-2</c:v>
                </c:pt>
                <c:pt idx="3">
                  <c:v>0.12450515543202897</c:v>
                </c:pt>
                <c:pt idx="4">
                  <c:v>0.16459345350037388</c:v>
                </c:pt>
                <c:pt idx="5">
                  <c:v>0.1979076601843584</c:v>
                </c:pt>
                <c:pt idx="6">
                  <c:v>0.27482015880937316</c:v>
                </c:pt>
                <c:pt idx="7">
                  <c:v>0.29998625625707526</c:v>
                </c:pt>
                <c:pt idx="8">
                  <c:v>0.35970549095869753</c:v>
                </c:pt>
                <c:pt idx="9">
                  <c:v>0.34736657950498229</c:v>
                </c:pt>
                <c:pt idx="10">
                  <c:v>0.37189400750119472</c:v>
                </c:pt>
                <c:pt idx="11">
                  <c:v>0.41816369144529164</c:v>
                </c:pt>
                <c:pt idx="12">
                  <c:v>0.42862403787019387</c:v>
                </c:pt>
                <c:pt idx="13">
                  <c:v>0.44718127143041198</c:v>
                </c:pt>
                <c:pt idx="14">
                  <c:v>0.46740440754845508</c:v>
                </c:pt>
                <c:pt idx="15">
                  <c:v>0.47438697955958592</c:v>
                </c:pt>
                <c:pt idx="16">
                  <c:v>0.45531966833338311</c:v>
                </c:pt>
                <c:pt idx="17">
                  <c:v>0.4664029052113654</c:v>
                </c:pt>
                <c:pt idx="18">
                  <c:v>0.47239692915157594</c:v>
                </c:pt>
                <c:pt idx="19">
                  <c:v>0.46840490788203842</c:v>
                </c:pt>
                <c:pt idx="20">
                  <c:v>0.50762562103531983</c:v>
                </c:pt>
                <c:pt idx="21">
                  <c:v>0.53979490396871144</c:v>
                </c:pt>
                <c:pt idx="22">
                  <c:v>0.57725931279412057</c:v>
                </c:pt>
              </c:numCache>
            </c:numRef>
          </c:val>
          <c:smooth val="0"/>
          <c:extLst>
            <c:ext xmlns:c16="http://schemas.microsoft.com/office/drawing/2014/chart" uri="{C3380CC4-5D6E-409C-BE32-E72D297353CC}">
              <c16:uniqueId val="{00000001-1B20-42B9-A18C-75D7A5BB9FB7}"/>
            </c:ext>
          </c:extLst>
        </c:ser>
        <c:ser>
          <c:idx val="2"/>
          <c:order val="2"/>
          <c:tx>
            <c:strRef>
              <c:f>'1b. Nominal Wage Cost log-incre'!$D$15</c:f>
              <c:strCache>
                <c:ptCount val="1"/>
                <c:pt idx="0">
                  <c:v>NO</c:v>
                </c:pt>
              </c:strCache>
            </c:strRef>
          </c:tx>
          <c:spPr>
            <a:ln w="28575" cap="rnd">
              <a:solidFill>
                <a:srgbClr val="0070C0"/>
              </a:solidFill>
              <a:round/>
            </a:ln>
            <a:effectLst/>
          </c:spPr>
          <c:marker>
            <c:symbol val="none"/>
          </c:marker>
          <c:cat>
            <c:numRef>
              <c:f>'1b. Nominal Wage Cost log-incre'!$E$12:$AA$12</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'1b. Nominal Wage Cost log-incre'!$E$15:$AA$15</c:f>
              <c:numCache>
                <c:formatCode>General</c:formatCode>
                <c:ptCount val="23"/>
                <c:pt idx="0">
                  <c:v>0</c:v>
                </c:pt>
                <c:pt idx="1">
                  <c:v>5.1953055577940443E-2</c:v>
                </c:pt>
                <c:pt idx="2">
                  <c:v>9.0305838689756113E-2</c:v>
                </c:pt>
                <c:pt idx="3">
                  <c:v>0.14976636560038381</c:v>
                </c:pt>
                <c:pt idx="4">
                  <c:v>0.19291292894307477</c:v>
                </c:pt>
                <c:pt idx="5">
                  <c:v>0.24837687843336545</c:v>
                </c:pt>
                <c:pt idx="6">
                  <c:v>0.32410157076168861</c:v>
                </c:pt>
                <c:pt idx="7">
                  <c:v>0.38195975243451147</c:v>
                </c:pt>
                <c:pt idx="8">
                  <c:v>0.4322074553367074</c:v>
                </c:pt>
                <c:pt idx="9">
                  <c:v>0.46987162475739147</c:v>
                </c:pt>
                <c:pt idx="10">
                  <c:v>0.50266144758038234</c:v>
                </c:pt>
                <c:pt idx="11">
                  <c:v>0.53410069207847488</c:v>
                </c:pt>
                <c:pt idx="12">
                  <c:v>0.57622174960038397</c:v>
                </c:pt>
                <c:pt idx="13">
                  <c:v>0.61378621862166471</c:v>
                </c:pt>
                <c:pt idx="14">
                  <c:v>0.62712921288812984</c:v>
                </c:pt>
                <c:pt idx="15">
                  <c:v>0.65026613346704687</c:v>
                </c:pt>
                <c:pt idx="16">
                  <c:v>0.66639331093046095</c:v>
                </c:pt>
                <c:pt idx="17">
                  <c:v>0.69129753014490936</c:v>
                </c:pt>
                <c:pt idx="18">
                  <c:v>0.72305449343459149</c:v>
                </c:pt>
                <c:pt idx="19">
                  <c:v>0.74760336635600422</c:v>
                </c:pt>
                <c:pt idx="20">
                  <c:v>0.77691942069005737</c:v>
                </c:pt>
                <c:pt idx="21">
                  <c:v>0.80987369208212889</c:v>
                </c:pt>
                <c:pt idx="22">
                  <c:v>0.84767492008021983</c:v>
                </c:pt>
              </c:numCache>
            </c:numRef>
          </c:val>
          <c:smooth val="0"/>
          <c:extLst>
            <c:ext xmlns:c16="http://schemas.microsoft.com/office/drawing/2014/chart" uri="{C3380CC4-5D6E-409C-BE32-E72D297353CC}">
              <c16:uniqueId val="{00000002-1B20-42B9-A18C-75D7A5BB9FB7}"/>
            </c:ext>
          </c:extLst>
        </c:ser>
        <c:ser>
          <c:idx val="3"/>
          <c:order val="3"/>
          <c:tx>
            <c:strRef>
              <c:f>'1b. Nominal Wage Cost log-incre'!$D$16</c:f>
              <c:strCache>
                <c:ptCount val="1"/>
                <c:pt idx="0">
                  <c:v>SE</c:v>
                </c:pt>
              </c:strCache>
            </c:strRef>
          </c:tx>
          <c:spPr>
            <a:ln w="28575" cap="rnd">
              <a:solidFill>
                <a:srgbClr val="FFFF00"/>
              </a:solidFill>
              <a:round/>
            </a:ln>
            <a:effectLst/>
          </c:spPr>
          <c:marker>
            <c:symbol val="none"/>
          </c:marker>
          <c:cat>
            <c:numRef>
              <c:f>'1b. Nominal Wage Cost log-incre'!$E$12:$AA$12</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'1b. Nominal Wage Cost log-incre'!$E$16:$AA$16</c:f>
              <c:numCache>
                <c:formatCode>General</c:formatCode>
                <c:ptCount val="23"/>
                <c:pt idx="0">
                  <c:v>0</c:v>
                </c:pt>
                <c:pt idx="1">
                  <c:v>3.2398400557250143E-2</c:v>
                </c:pt>
                <c:pt idx="2">
                  <c:v>7.9909383228301906E-2</c:v>
                </c:pt>
                <c:pt idx="3">
                  <c:v>0.10830245772951975</c:v>
                </c:pt>
                <c:pt idx="4">
                  <c:v>0.13893272367776283</c:v>
                </c:pt>
                <c:pt idx="5">
                  <c:v>0.14644590702854618</c:v>
                </c:pt>
                <c:pt idx="6">
                  <c:v>0.19609113751771151</c:v>
                </c:pt>
                <c:pt idx="7">
                  <c:v>0.23657119324167875</c:v>
                </c:pt>
                <c:pt idx="8">
                  <c:v>0.28464453485915653</c:v>
                </c:pt>
                <c:pt idx="9">
                  <c:v>0.30529042948270346</c:v>
                </c:pt>
                <c:pt idx="10">
                  <c:v>0.33300001091046383</c:v>
                </c:pt>
                <c:pt idx="11">
                  <c:v>0.38031022808785764</c:v>
                </c:pt>
                <c:pt idx="12">
                  <c:v>0.3944281096336425</c:v>
                </c:pt>
                <c:pt idx="13">
                  <c:v>0.42094263117707748</c:v>
                </c:pt>
                <c:pt idx="14">
                  <c:v>0.44898709388407698</c:v>
                </c:pt>
                <c:pt idx="15">
                  <c:v>0.48163417172074313</c:v>
                </c:pt>
                <c:pt idx="16">
                  <c:v>0.4922838996374011</c:v>
                </c:pt>
                <c:pt idx="17">
                  <c:v>0.52254181567790536</c:v>
                </c:pt>
                <c:pt idx="18">
                  <c:v>0.55788118212321436</c:v>
                </c:pt>
                <c:pt idx="19">
                  <c:v>0.54991301247403734</c:v>
                </c:pt>
                <c:pt idx="20">
                  <c:v>0.59679659837288779</c:v>
                </c:pt>
                <c:pt idx="21">
                  <c:v>0.62502048496084284</c:v>
                </c:pt>
                <c:pt idx="22">
                  <c:v>0.66055953256110111</c:v>
                </c:pt>
              </c:numCache>
            </c:numRef>
          </c:val>
          <c:smooth val="0"/>
          <c:extLst>
            <c:ext xmlns:c16="http://schemas.microsoft.com/office/drawing/2014/chart" uri="{C3380CC4-5D6E-409C-BE32-E72D297353CC}">
              <c16:uniqueId val="{00000003-1B20-42B9-A18C-75D7A5BB9FB7}"/>
            </c:ext>
          </c:extLst>
        </c:ser>
        <c:ser>
          <c:idx val="4"/>
          <c:order val="4"/>
          <c:tx>
            <c:strRef>
              <c:f>'1b. Nominal Wage Cost log-incre'!$D$17</c:f>
              <c:strCache>
                <c:ptCount val="1"/>
                <c:pt idx="0">
                  <c:v>EA</c:v>
                </c:pt>
              </c:strCache>
            </c:strRef>
          </c:tx>
          <c:spPr>
            <a:ln w="28575" cap="rnd">
              <a:solidFill>
                <a:srgbClr val="00B050"/>
              </a:solidFill>
              <a:round/>
            </a:ln>
            <a:effectLst/>
          </c:spPr>
          <c:marker>
            <c:symbol val="none"/>
          </c:marker>
          <c:cat>
            <c:numRef>
              <c:f>'1b. Nominal Wage Cost log-incre'!$E$12:$AA$12</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'1b. Nominal Wage Cost log-incre'!$E$17:$AA$17</c:f>
              <c:numCache>
                <c:formatCode>General</c:formatCode>
                <c:ptCount val="23"/>
                <c:pt idx="0">
                  <c:v>0</c:v>
                </c:pt>
                <c:pt idx="1">
                  <c:v>3.2088314551500449E-2</c:v>
                </c:pt>
                <c:pt idx="2">
                  <c:v>5.8796133466436376E-2</c:v>
                </c:pt>
                <c:pt idx="3">
                  <c:v>8.1952016129456615E-2</c:v>
                </c:pt>
                <c:pt idx="4">
                  <c:v>0.10318423623523081</c:v>
                </c:pt>
                <c:pt idx="5">
                  <c:v>0.13624509849611879</c:v>
                </c:pt>
                <c:pt idx="6">
                  <c:v>0.15769364190360241</c:v>
                </c:pt>
                <c:pt idx="7">
                  <c:v>0.19031231976639462</c:v>
                </c:pt>
                <c:pt idx="8">
                  <c:v>0.22190054307461277</c:v>
                </c:pt>
                <c:pt idx="9">
                  <c:v>0.22933552156213075</c:v>
                </c:pt>
                <c:pt idx="10">
                  <c:v>0.26212534438512158</c:v>
                </c:pt>
                <c:pt idx="11">
                  <c:v>0.28807019587990174</c:v>
                </c:pt>
                <c:pt idx="12">
                  <c:v>0.30309069780462594</c:v>
                </c:pt>
                <c:pt idx="13">
                  <c:v>0.3212730168878164</c:v>
                </c:pt>
                <c:pt idx="14">
                  <c:v>0.33247134219784591</c:v>
                </c:pt>
                <c:pt idx="15">
                  <c:v>0.34794126396997777</c:v>
                </c:pt>
                <c:pt idx="16">
                  <c:v>0.37070647474299018</c:v>
                </c:pt>
                <c:pt idx="17">
                  <c:v>0.39610466534860067</c:v>
                </c:pt>
                <c:pt idx="18">
                  <c:v>0.42189258225011217</c:v>
                </c:pt>
                <c:pt idx="19">
                  <c:v>0.44005655287778334</c:v>
                </c:pt>
                <c:pt idx="20">
                  <c:v>0.44005655287778334</c:v>
                </c:pt>
                <c:pt idx="21">
                  <c:v>0.48502991852051447</c:v>
                </c:pt>
                <c:pt idx="22">
                  <c:v>0.53445722829926778</c:v>
                </c:pt>
              </c:numCache>
            </c:numRef>
          </c:val>
          <c:smooth val="0"/>
          <c:extLst>
            <c:ext xmlns:c16="http://schemas.microsoft.com/office/drawing/2014/chart" uri="{C3380CC4-5D6E-409C-BE32-E72D297353CC}">
              <c16:uniqueId val="{00000004-1B20-42B9-A18C-75D7A5BB9FB7}"/>
            </c:ext>
          </c:extLst>
        </c:ser>
        <c:dLbls>
          <c:showLegendKey val="0"/>
          <c:showVal val="0"/>
          <c:showCatName val="0"/>
          <c:showSerName val="0"/>
          <c:showPercent val="0"/>
          <c:showBubbleSize val="0"/>
        </c:dLbls>
        <c:smooth val="0"/>
        <c:axId val="2116585727"/>
        <c:axId val="2116584767"/>
      </c:lineChart>
      <c:catAx>
        <c:axId val="2116585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116584767"/>
        <c:crosses val="autoZero"/>
        <c:auto val="1"/>
        <c:lblAlgn val="ctr"/>
        <c:lblOffset val="100"/>
        <c:noMultiLvlLbl val="0"/>
      </c:catAx>
      <c:valAx>
        <c:axId val="21165847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116585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'1b. Nominal Wage Cost log-incre'!$D$38</c:f>
              <c:strCache>
                <c:ptCount val="1"/>
                <c:pt idx="0">
                  <c:v>DK</c:v>
                </c:pt>
              </c:strCache>
            </c:strRef>
          </c:tx>
          <c:spPr>
            <a:ln w="28575" cap="rnd">
              <a:solidFill>
                <a:srgbClr val="FF0000"/>
              </a:solidFill>
              <a:round/>
            </a:ln>
            <a:effectLst/>
          </c:spPr>
          <c:marker>
            <c:symbol val="none"/>
          </c:marker>
          <c:cat>
            <c:numRef>
              <c:f>'1b. Nominal Wage Cost log-incre'!$E$37:$AA$37</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'1b. Nominal Wage Cost log-incre'!$E$38:$AA$38</c:f>
              <c:numCache>
                <c:formatCode>General</c:formatCode>
                <c:ptCount val="23"/>
                <c:pt idx="0">
                  <c:v>0</c:v>
                </c:pt>
                <c:pt idx="1">
                  <c:v>4.1679792130850726E-2</c:v>
                </c:pt>
                <c:pt idx="2">
                  <c:v>8.5070548365284063E-2</c:v>
                </c:pt>
                <c:pt idx="3">
                  <c:v>0.11520247108182062</c:v>
                </c:pt>
                <c:pt idx="4">
                  <c:v>0.13398342736637969</c:v>
                </c:pt>
                <c:pt idx="5">
                  <c:v>0.16421248426074012</c:v>
                </c:pt>
                <c:pt idx="6">
                  <c:v>0.20371354957791982</c:v>
                </c:pt>
                <c:pt idx="7">
                  <c:v>0.24251987701256161</c:v>
                </c:pt>
                <c:pt idx="8">
                  <c:v>0.26934670690436791</c:v>
                </c:pt>
                <c:pt idx="9">
                  <c:v>0.29530364345149057</c:v>
                </c:pt>
                <c:pt idx="10">
                  <c:v>0.32269061522691084</c:v>
                </c:pt>
                <c:pt idx="11">
                  <c:v>0.3354796795436143</c:v>
                </c:pt>
                <c:pt idx="12">
                  <c:v>0.35110789864330511</c:v>
                </c:pt>
                <c:pt idx="13">
                  <c:v>0.37103086805400376</c:v>
                </c:pt>
                <c:pt idx="14">
                  <c:v>0.38740966278540939</c:v>
                </c:pt>
                <c:pt idx="15">
                  <c:v>0.4167712214071696</c:v>
                </c:pt>
                <c:pt idx="16">
                  <c:v>0.4327608599395576</c:v>
                </c:pt>
                <c:pt idx="17">
                  <c:v>0.45512700188795829</c:v>
                </c:pt>
                <c:pt idx="18">
                  <c:v>0.48426434578387317</c:v>
                </c:pt>
                <c:pt idx="19">
                  <c:v>0.49894472785959243</c:v>
                </c:pt>
                <c:pt idx="20">
                  <c:v>0.54047553122037983</c:v>
                </c:pt>
                <c:pt idx="21">
                  <c:v>0.57136373947798835</c:v>
                </c:pt>
                <c:pt idx="22">
                  <c:v>0.5974212695954122</c:v>
                </c:pt>
              </c:numCache>
            </c:numRef>
          </c:val>
          <c:smooth val="0"/>
          <c:extLst>
            <c:ext xmlns:c16="http://schemas.microsoft.com/office/drawing/2014/chart" uri="{C3380CC4-5D6E-409C-BE32-E72D297353CC}">
              <c16:uniqueId val="{00000000-694B-4691-B2F6-1DDB907A14CF}"/>
            </c:ext>
          </c:extLst>
        </c:ser>
        <c:ser>
          <c:idx val="1"/>
          <c:order val="1"/>
          <c:tx>
            <c:strRef>
              <c:f>'1b. Nominal Wage Cost log-incre'!$D$39</c:f>
              <c:strCache>
                <c:ptCount val="1"/>
                <c:pt idx="0">
                  <c:v>FI</c:v>
                </c:pt>
              </c:strCache>
            </c:strRef>
          </c:tx>
          <c:spPr>
            <a:ln w="28575" cap="rnd">
              <a:solidFill>
                <a:srgbClr val="00B0F0"/>
              </a:solidFill>
              <a:round/>
            </a:ln>
            <a:effectLst/>
          </c:spPr>
          <c:marker>
            <c:symbol val="none"/>
          </c:marker>
          <c:cat>
            <c:numRef>
              <c:f>'1b. Nominal Wage Cost log-incre'!$E$37:$AA$37</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'1b. Nominal Wage Cost log-incre'!$E$39:$AA$39</c:f>
              <c:numCache>
                <c:formatCode>General</c:formatCode>
                <c:ptCount val="23"/>
                <c:pt idx="0">
                  <c:v>0</c:v>
                </c:pt>
                <c:pt idx="1">
                  <c:v>4.6810417843990371E-2</c:v>
                </c:pt>
                <c:pt idx="2">
                  <c:v>8.1270756458597743E-2</c:v>
                </c:pt>
                <c:pt idx="3">
                  <c:v>0.12450515543202897</c:v>
                </c:pt>
                <c:pt idx="4">
                  <c:v>0.16459345350037388</c:v>
                </c:pt>
                <c:pt idx="5">
                  <c:v>0.1979076601843584</c:v>
                </c:pt>
                <c:pt idx="6">
                  <c:v>0.27482015880937316</c:v>
                </c:pt>
                <c:pt idx="7">
                  <c:v>0.29998625625707526</c:v>
                </c:pt>
                <c:pt idx="8">
                  <c:v>0.35970549095869753</c:v>
                </c:pt>
                <c:pt idx="9">
                  <c:v>0.34736657950498229</c:v>
                </c:pt>
                <c:pt idx="10">
                  <c:v>0.37189400750119472</c:v>
                </c:pt>
                <c:pt idx="11">
                  <c:v>0.41816369144529164</c:v>
                </c:pt>
                <c:pt idx="12">
                  <c:v>0.42862403787019387</c:v>
                </c:pt>
                <c:pt idx="13">
                  <c:v>0.44718127143041198</c:v>
                </c:pt>
                <c:pt idx="14">
                  <c:v>0.46740440754845508</c:v>
                </c:pt>
                <c:pt idx="15">
                  <c:v>0.47438697955958592</c:v>
                </c:pt>
                <c:pt idx="16">
                  <c:v>0.45531966833338311</c:v>
                </c:pt>
                <c:pt idx="17">
                  <c:v>0.4664029052113654</c:v>
                </c:pt>
                <c:pt idx="18">
                  <c:v>0.47239692915157594</c:v>
                </c:pt>
                <c:pt idx="19">
                  <c:v>0.46840490788203842</c:v>
                </c:pt>
                <c:pt idx="20">
                  <c:v>0.50762562103531983</c:v>
                </c:pt>
                <c:pt idx="21">
                  <c:v>0.53979490396871144</c:v>
                </c:pt>
                <c:pt idx="22">
                  <c:v>0.57725931279412057</c:v>
                </c:pt>
              </c:numCache>
            </c:numRef>
          </c:val>
          <c:smooth val="0"/>
          <c:extLst>
            <c:ext xmlns:c16="http://schemas.microsoft.com/office/drawing/2014/chart" uri="{C3380CC4-5D6E-409C-BE32-E72D297353CC}">
              <c16:uniqueId val="{00000001-694B-4691-B2F6-1DDB907A14CF}"/>
            </c:ext>
          </c:extLst>
        </c:ser>
        <c:ser>
          <c:idx val="2"/>
          <c:order val="2"/>
          <c:tx>
            <c:strRef>
              <c:f>'1b. Nominal Wage Cost log-incre'!$D$40</c:f>
              <c:strCache>
                <c:ptCount val="1"/>
                <c:pt idx="0">
                  <c:v>NO</c:v>
                </c:pt>
              </c:strCache>
            </c:strRef>
          </c:tx>
          <c:spPr>
            <a:ln w="28575" cap="rnd">
              <a:solidFill>
                <a:srgbClr val="0070C0"/>
              </a:solidFill>
              <a:round/>
            </a:ln>
            <a:effectLst/>
          </c:spPr>
          <c:marker>
            <c:symbol val="none"/>
          </c:marker>
          <c:cat>
            <c:numRef>
              <c:f>'1b. Nominal Wage Cost log-incre'!$E$37:$AA$37</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'1b. Nominal Wage Cost log-incre'!$E$40:$AA$40</c:f>
              <c:numCache>
                <c:formatCode>General</c:formatCode>
                <c:ptCount val="23"/>
                <c:pt idx="0">
                  <c:v>0</c:v>
                </c:pt>
                <c:pt idx="1">
                  <c:v>0.12137733920065515</c:v>
                </c:pt>
                <c:pt idx="2">
                  <c:v>9.5925195976210895E-2</c:v>
                </c:pt>
                <c:pt idx="3">
                  <c:v>0.11062163794681186</c:v>
                </c:pt>
                <c:pt idx="4">
                  <c:v>0.19779536191827229</c:v>
                </c:pt>
                <c:pt idx="5">
                  <c:v>0.24852598750692884</c:v>
                </c:pt>
                <c:pt idx="6">
                  <c:v>0.32807296702648836</c:v>
                </c:pt>
                <c:pt idx="7">
                  <c:v>0.36041283689783932</c:v>
                </c:pt>
                <c:pt idx="8">
                  <c:v>0.35116743573714321</c:v>
                </c:pt>
                <c:pt idx="9">
                  <c:v>0.47536604139049382</c:v>
                </c:pt>
                <c:pt idx="10">
                  <c:v>0.53485753983278084</c:v>
                </c:pt>
                <c:pt idx="11">
                  <c:v>0.60799650887634182</c:v>
                </c:pt>
                <c:pt idx="12">
                  <c:v>0.60671272416476829</c:v>
                </c:pt>
                <c:pt idx="13">
                  <c:v>0.57647118635001782</c:v>
                </c:pt>
                <c:pt idx="14">
                  <c:v>0.52099368824910097</c:v>
                </c:pt>
                <c:pt idx="15">
                  <c:v>0.50673631106252515</c:v>
                </c:pt>
                <c:pt idx="16">
                  <c:v>0.51895320509728937</c:v>
                </c:pt>
                <c:pt idx="17">
                  <c:v>0.5152681961636485</c:v>
                </c:pt>
                <c:pt idx="18">
                  <c:v>0.52094468327044807</c:v>
                </c:pt>
                <c:pt idx="19">
                  <c:v>0.46070436470027454</c:v>
                </c:pt>
                <c:pt idx="20">
                  <c:v>0.54360954203879408</c:v>
                </c:pt>
                <c:pt idx="21">
                  <c:v>0.58255418953221694</c:v>
                </c:pt>
                <c:pt idx="22">
                  <c:v>0.49736180283518844</c:v>
                </c:pt>
              </c:numCache>
            </c:numRef>
          </c:val>
          <c:smooth val="0"/>
          <c:extLst>
            <c:ext xmlns:c16="http://schemas.microsoft.com/office/drawing/2014/chart" uri="{C3380CC4-5D6E-409C-BE32-E72D297353CC}">
              <c16:uniqueId val="{00000002-694B-4691-B2F6-1DDB907A14CF}"/>
            </c:ext>
          </c:extLst>
        </c:ser>
        <c:ser>
          <c:idx val="3"/>
          <c:order val="3"/>
          <c:tx>
            <c:strRef>
              <c:f>'1b. Nominal Wage Cost log-incre'!$D$41</c:f>
              <c:strCache>
                <c:ptCount val="1"/>
                <c:pt idx="0">
                  <c:v>SE</c:v>
                </c:pt>
              </c:strCache>
            </c:strRef>
          </c:tx>
          <c:spPr>
            <a:ln w="28575" cap="rnd">
              <a:solidFill>
                <a:srgbClr val="FFFF00"/>
              </a:solidFill>
              <a:round/>
            </a:ln>
            <a:effectLst/>
          </c:spPr>
          <c:marker>
            <c:symbol val="none"/>
          </c:marker>
          <c:cat>
            <c:numRef>
              <c:f>'1b. Nominal Wage Cost log-incre'!$E$37:$AA$37</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'1b. Nominal Wage Cost log-incre'!$E$41:$AA$41</c:f>
              <c:numCache>
                <c:formatCode>General</c:formatCode>
                <c:ptCount val="23"/>
                <c:pt idx="0">
                  <c:v>0</c:v>
                </c:pt>
                <c:pt idx="1">
                  <c:v>4.2606892682247842E-2</c:v>
                </c:pt>
                <c:pt idx="2">
                  <c:v>9.4153909773344591E-2</c:v>
                </c:pt>
                <c:pt idx="3">
                  <c:v>0.12253602446964672</c:v>
                </c:pt>
                <c:pt idx="4">
                  <c:v>0.13600888694791707</c:v>
                </c:pt>
                <c:pt idx="5">
                  <c:v>0.14652154386372093</c:v>
                </c:pt>
                <c:pt idx="6">
                  <c:v>0.19663152617837723</c:v>
                </c:pt>
                <c:pt idx="7">
                  <c:v>0.19840076452261066</c:v>
                </c:pt>
                <c:pt idx="8">
                  <c:v>0.14716501933657464</c:v>
                </c:pt>
                <c:pt idx="9">
                  <c:v>0.27525475388520476</c:v>
                </c:pt>
                <c:pt idx="10">
                  <c:v>0.35764454305846455</c:v>
                </c:pt>
                <c:pt idx="11">
                  <c:v>0.44169080000705413</c:v>
                </c:pt>
                <c:pt idx="12">
                  <c:v>0.46187014425645034</c:v>
                </c:pt>
                <c:pt idx="13">
                  <c:v>0.43800781734329103</c:v>
                </c:pt>
                <c:pt idx="14">
                  <c:v>0.43841124001462861</c:v>
                </c:pt>
                <c:pt idx="15">
                  <c:v>0.45879617848979265</c:v>
                </c:pt>
                <c:pt idx="16">
                  <c:v>0.45204596993511248</c:v>
                </c:pt>
                <c:pt idx="17">
                  <c:v>0.41962943260889024</c:v>
                </c:pt>
                <c:pt idx="18">
                  <c:v>0.42323076289446793</c:v>
                </c:pt>
                <c:pt idx="19">
                  <c:v>0.42516117410831605</c:v>
                </c:pt>
                <c:pt idx="20">
                  <c:v>0.50484253087537523</c:v>
                </c:pt>
                <c:pt idx="21">
                  <c:v>0.48655267360325566</c:v>
                </c:pt>
                <c:pt idx="22">
                  <c:v>0.44523242768738064</c:v>
                </c:pt>
              </c:numCache>
            </c:numRef>
          </c:val>
          <c:smooth val="0"/>
          <c:extLst>
            <c:ext xmlns:c16="http://schemas.microsoft.com/office/drawing/2014/chart" uri="{C3380CC4-5D6E-409C-BE32-E72D297353CC}">
              <c16:uniqueId val="{00000003-694B-4691-B2F6-1DDB907A14CF}"/>
            </c:ext>
          </c:extLst>
        </c:ser>
        <c:ser>
          <c:idx val="4"/>
          <c:order val="4"/>
          <c:tx>
            <c:strRef>
              <c:f>'1b. Nominal Wage Cost log-incre'!$D$42</c:f>
              <c:strCache>
                <c:ptCount val="1"/>
                <c:pt idx="0">
                  <c:v>EA</c:v>
                </c:pt>
              </c:strCache>
            </c:strRef>
          </c:tx>
          <c:spPr>
            <a:ln w="28575" cap="rnd">
              <a:solidFill>
                <a:srgbClr val="00B050"/>
              </a:solidFill>
              <a:round/>
            </a:ln>
            <a:effectLst/>
          </c:spPr>
          <c:marker>
            <c:symbol val="none"/>
          </c:marker>
          <c:cat>
            <c:numRef>
              <c:f>'1b. Nominal Wage Cost log-incre'!$E$37:$AA$37</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'1b. Nominal Wage Cost log-incre'!$E$42:$AA$42</c:f>
              <c:numCache>
                <c:formatCode>General</c:formatCode>
                <c:ptCount val="23"/>
                <c:pt idx="0">
                  <c:v>0</c:v>
                </c:pt>
                <c:pt idx="1">
                  <c:v>3.2088314551500449E-2</c:v>
                </c:pt>
                <c:pt idx="2">
                  <c:v>5.8796133466436376E-2</c:v>
                </c:pt>
                <c:pt idx="3">
                  <c:v>8.1952016129456615E-2</c:v>
                </c:pt>
                <c:pt idx="4">
                  <c:v>0.10318423623523081</c:v>
                </c:pt>
                <c:pt idx="5">
                  <c:v>0.13624509849611879</c:v>
                </c:pt>
                <c:pt idx="6">
                  <c:v>0.15769364190360241</c:v>
                </c:pt>
                <c:pt idx="7">
                  <c:v>0.19031231976639462</c:v>
                </c:pt>
                <c:pt idx="8">
                  <c:v>0.22190054307461277</c:v>
                </c:pt>
                <c:pt idx="9">
                  <c:v>0.22933552156213075</c:v>
                </c:pt>
                <c:pt idx="10">
                  <c:v>0.26212534438512158</c:v>
                </c:pt>
                <c:pt idx="11">
                  <c:v>0.28807019587990174</c:v>
                </c:pt>
                <c:pt idx="12">
                  <c:v>0.30309069780462594</c:v>
                </c:pt>
                <c:pt idx="13">
                  <c:v>0.3212730168878164</c:v>
                </c:pt>
                <c:pt idx="14">
                  <c:v>0.33247134219784591</c:v>
                </c:pt>
                <c:pt idx="15">
                  <c:v>0.34794126396997777</c:v>
                </c:pt>
                <c:pt idx="16">
                  <c:v>0.37070647474299018</c:v>
                </c:pt>
                <c:pt idx="17">
                  <c:v>0.39610466534860067</c:v>
                </c:pt>
                <c:pt idx="18">
                  <c:v>0.42189258225011217</c:v>
                </c:pt>
                <c:pt idx="19">
                  <c:v>0.44005655287778334</c:v>
                </c:pt>
                <c:pt idx="20">
                  <c:v>0.44005655287778334</c:v>
                </c:pt>
                <c:pt idx="21">
                  <c:v>0.48502991852051447</c:v>
                </c:pt>
                <c:pt idx="22">
                  <c:v>0.53445722829926778</c:v>
                </c:pt>
              </c:numCache>
            </c:numRef>
          </c:val>
          <c:smooth val="0"/>
          <c:extLst>
            <c:ext xmlns:c16="http://schemas.microsoft.com/office/drawing/2014/chart" uri="{C3380CC4-5D6E-409C-BE32-E72D297353CC}">
              <c16:uniqueId val="{00000004-694B-4691-B2F6-1DDB907A14CF}"/>
            </c:ext>
          </c:extLst>
        </c:ser>
        <c:dLbls>
          <c:showLegendKey val="0"/>
          <c:showVal val="0"/>
          <c:showCatName val="0"/>
          <c:showSerName val="0"/>
          <c:showPercent val="0"/>
          <c:showBubbleSize val="0"/>
        </c:dLbls>
        <c:smooth val="0"/>
        <c:axId val="558308143"/>
        <c:axId val="558306223"/>
      </c:lineChart>
      <c:catAx>
        <c:axId val="558308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58306223"/>
        <c:crosses val="autoZero"/>
        <c:auto val="1"/>
        <c:lblAlgn val="ctr"/>
        <c:lblOffset val="100"/>
        <c:noMultiLvlLbl val="0"/>
      </c:catAx>
      <c:valAx>
        <c:axId val="558306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583081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Uträkningar!$B$15</c:f>
              <c:strCache>
                <c:ptCount val="1"/>
                <c:pt idx="0">
                  <c:v>DK</c:v>
                </c:pt>
              </c:strCache>
            </c:strRef>
          </c:tx>
          <c:spPr>
            <a:ln w="28575" cap="rnd">
              <a:solidFill>
                <a:srgbClr val="FF0000"/>
              </a:solidFill>
              <a:round/>
            </a:ln>
            <a:effectLst/>
          </c:spPr>
          <c:marker>
            <c:symbol val="none"/>
          </c:marker>
          <c:cat>
            <c:numRef>
              <c:f>Uträkningar!$C$13:$Z$13</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Uträkningar!$C$15:$Z$15</c:f>
              <c:numCache>
                <c:formatCode>General</c:formatCode>
                <c:ptCount val="24"/>
                <c:pt idx="0">
                  <c:v>0</c:v>
                </c:pt>
                <c:pt idx="1">
                  <c:v>3.529839981084585E-2</c:v>
                </c:pt>
                <c:pt idx="2">
                  <c:v>7.1176278467894954E-2</c:v>
                </c:pt>
                <c:pt idx="3">
                  <c:v>9.6549072649045997E-2</c:v>
                </c:pt>
                <c:pt idx="4">
                  <c:v>7.4455230552183213E-2</c:v>
                </c:pt>
                <c:pt idx="5">
                  <c:v>0.119797235372955</c:v>
                </c:pt>
                <c:pt idx="6">
                  <c:v>9.8013180459466248E-2</c:v>
                </c:pt>
                <c:pt idx="7">
                  <c:v>0.15339316188398294</c:v>
                </c:pt>
                <c:pt idx="8">
                  <c:v>0.17925511213308468</c:v>
                </c:pt>
                <c:pt idx="9">
                  <c:v>0.20399456718735662</c:v>
                </c:pt>
                <c:pt idx="10">
                  <c:v>0.14148798491669429</c:v>
                </c:pt>
                <c:pt idx="11">
                  <c:v>0.10582100764448206</c:v>
                </c:pt>
                <c:pt idx="12">
                  <c:v>8.2182694448098087E-2</c:v>
                </c:pt>
                <c:pt idx="13">
                  <c:v>2.5220554019377426E-2</c:v>
                </c:pt>
                <c:pt idx="14">
                  <c:v>3.6061498854816555E-2</c:v>
                </c:pt>
                <c:pt idx="15">
                  <c:v>6.6417618869715769E-2</c:v>
                </c:pt>
                <c:pt idx="16">
                  <c:v>5.9634666572883376E-2</c:v>
                </c:pt>
                <c:pt idx="17">
                  <c:v>5.180309398526311E-3</c:v>
                </c:pt>
                <c:pt idx="18">
                  <c:v>7.0507550433442263E-4</c:v>
                </c:pt>
                <c:pt idx="19">
                  <c:v>-3.6811835779156511E-2</c:v>
                </c:pt>
                <c:pt idx="20">
                  <c:v>4.3998170682351505E-2</c:v>
                </c:pt>
                <c:pt idx="21">
                  <c:v>-4.6773475903299097E-2</c:v>
                </c:pt>
                <c:pt idx="22">
                  <c:v>-5.9440432143643862E-2</c:v>
                </c:pt>
                <c:pt idx="23">
                  <c:v>-0.10628237398027618</c:v>
                </c:pt>
              </c:numCache>
            </c:numRef>
          </c:val>
          <c:smooth val="0"/>
          <c:extLst>
            <c:ext xmlns:c16="http://schemas.microsoft.com/office/drawing/2014/chart" uri="{C3380CC4-5D6E-409C-BE32-E72D297353CC}">
              <c16:uniqueId val="{00000000-62D3-4946-85BD-FA0BEE4310EB}"/>
            </c:ext>
          </c:extLst>
        </c:ser>
        <c:ser>
          <c:idx val="2"/>
          <c:order val="1"/>
          <c:tx>
            <c:strRef>
              <c:f>Uträkningar!$B$16</c:f>
              <c:strCache>
                <c:ptCount val="1"/>
                <c:pt idx="0">
                  <c:v>FI</c:v>
                </c:pt>
              </c:strCache>
            </c:strRef>
          </c:tx>
          <c:spPr>
            <a:ln w="28575" cap="rnd">
              <a:solidFill>
                <a:srgbClr val="00B0F0"/>
              </a:solidFill>
              <a:round/>
            </a:ln>
            <a:effectLst/>
          </c:spPr>
          <c:marker>
            <c:symbol val="none"/>
          </c:marker>
          <c:cat>
            <c:numRef>
              <c:f>Uträkningar!$C$13:$Z$13</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Uträkningar!$C$16:$Z$16</c:f>
              <c:numCache>
                <c:formatCode>General</c:formatCode>
                <c:ptCount val="24"/>
                <c:pt idx="0">
                  <c:v>0</c:v>
                </c:pt>
                <c:pt idx="1">
                  <c:v>3.4770905224264523E-3</c:v>
                </c:pt>
                <c:pt idx="2">
                  <c:v>-3.405240503078532E-2</c:v>
                </c:pt>
                <c:pt idx="3">
                  <c:v>-8.8371099141111242E-2</c:v>
                </c:pt>
                <c:pt idx="4">
                  <c:v>-0.11842993125270371</c:v>
                </c:pt>
                <c:pt idx="5">
                  <c:v>-0.12168741362954272</c:v>
                </c:pt>
                <c:pt idx="6">
                  <c:v>-0.17628121719046741</c:v>
                </c:pt>
                <c:pt idx="7">
                  <c:v>-0.2259699116815678</c:v>
                </c:pt>
                <c:pt idx="8">
                  <c:v>-0.18320912748121876</c:v>
                </c:pt>
                <c:pt idx="9">
                  <c:v>-3.8182480416049927E-3</c:v>
                </c:pt>
                <c:pt idx="10">
                  <c:v>-0.10890342622363329</c:v>
                </c:pt>
                <c:pt idx="11">
                  <c:v>-6.7999644801162273E-2</c:v>
                </c:pt>
                <c:pt idx="12">
                  <c:v>7.4795583186101494E-2</c:v>
                </c:pt>
                <c:pt idx="13">
                  <c:v>2.7454071667058762E-2</c:v>
                </c:pt>
                <c:pt idx="14">
                  <c:v>1.7205380750296716E-2</c:v>
                </c:pt>
                <c:pt idx="15">
                  <c:v>2.4159504717628677E-2</c:v>
                </c:pt>
                <c:pt idx="16">
                  <c:v>-1.8967227003528361E-2</c:v>
                </c:pt>
                <c:pt idx="17">
                  <c:v>-0.10202749553275588</c:v>
                </c:pt>
                <c:pt idx="18">
                  <c:v>-3.1628084426091822E-2</c:v>
                </c:pt>
                <c:pt idx="19">
                  <c:v>-4.854022870064912E-2</c:v>
                </c:pt>
                <c:pt idx="20">
                  <c:v>-4.697136494519602E-2</c:v>
                </c:pt>
                <c:pt idx="21">
                  <c:v>1.972970763824318E-2</c:v>
                </c:pt>
                <c:pt idx="22">
                  <c:v>9.0873782179832469E-2</c:v>
                </c:pt>
                <c:pt idx="23">
                  <c:v>0.13730067244430944</c:v>
                </c:pt>
              </c:numCache>
            </c:numRef>
          </c:val>
          <c:smooth val="0"/>
          <c:extLst>
            <c:ext xmlns:c16="http://schemas.microsoft.com/office/drawing/2014/chart" uri="{C3380CC4-5D6E-409C-BE32-E72D297353CC}">
              <c16:uniqueId val="{00000001-62D3-4946-85BD-FA0BEE4310EB}"/>
            </c:ext>
          </c:extLst>
        </c:ser>
        <c:ser>
          <c:idx val="4"/>
          <c:order val="2"/>
          <c:tx>
            <c:strRef>
              <c:f>Uträkningar!$B$18</c:f>
              <c:strCache>
                <c:ptCount val="1"/>
                <c:pt idx="0">
                  <c:v>NO</c:v>
                </c:pt>
              </c:strCache>
            </c:strRef>
          </c:tx>
          <c:spPr>
            <a:ln w="28575" cap="rnd">
              <a:solidFill>
                <a:srgbClr val="0070C0"/>
              </a:solidFill>
              <a:round/>
            </a:ln>
            <a:effectLst/>
          </c:spPr>
          <c:marker>
            <c:symbol val="none"/>
          </c:marker>
          <c:cat>
            <c:numRef>
              <c:f>Uträkningar!$C$13:$Z$13</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Uträkningar!$C$18:$Z$18</c:f>
              <c:numCache>
                <c:formatCode>General</c:formatCode>
                <c:ptCount val="24"/>
                <c:pt idx="0">
                  <c:v>0</c:v>
                </c:pt>
                <c:pt idx="1">
                  <c:v>3.8646822254613612E-2</c:v>
                </c:pt>
                <c:pt idx="2">
                  <c:v>0.14604364711438636</c:v>
                </c:pt>
                <c:pt idx="3">
                  <c:v>3.7466392903747266E-2</c:v>
                </c:pt>
                <c:pt idx="4">
                  <c:v>-2.0369123607607155E-2</c:v>
                </c:pt>
                <c:pt idx="5">
                  <c:v>5.1852521089559504E-2</c:v>
                </c:pt>
                <c:pt idx="6">
                  <c:v>0.14570495479127016</c:v>
                </c:pt>
                <c:pt idx="7">
                  <c:v>0.17971613879628753</c:v>
                </c:pt>
                <c:pt idx="8">
                  <c:v>0.18950133319632745</c:v>
                </c:pt>
                <c:pt idx="9">
                  <c:v>0.16339207073234099</c:v>
                </c:pt>
                <c:pt idx="10">
                  <c:v>0.21525205655869761</c:v>
                </c:pt>
                <c:pt idx="11">
                  <c:v>0.26883417540060239</c:v>
                </c:pt>
                <c:pt idx="12">
                  <c:v>0.3507539032032595</c:v>
                </c:pt>
                <c:pt idx="13">
                  <c:v>0.32753830148488106</c:v>
                </c:pt>
                <c:pt idx="14">
                  <c:v>0.2667644821175148</c:v>
                </c:pt>
                <c:pt idx="15">
                  <c:v>0.23439410208706407</c:v>
                </c:pt>
                <c:pt idx="16">
                  <c:v>0.2126493901647688</c:v>
                </c:pt>
                <c:pt idx="17">
                  <c:v>0.20292407461757614</c:v>
                </c:pt>
                <c:pt idx="18">
                  <c:v>0.19217529915065404</c:v>
                </c:pt>
                <c:pt idx="19">
                  <c:v>0.20686873102231212</c:v>
                </c:pt>
                <c:pt idx="20">
                  <c:v>0.15684328706850492</c:v>
                </c:pt>
                <c:pt idx="21">
                  <c:v>0.19779235644250334</c:v>
                </c:pt>
                <c:pt idx="22">
                  <c:v>0.27594862824049721</c:v>
                </c:pt>
                <c:pt idx="23">
                  <c:v>0.22712776609501889</c:v>
                </c:pt>
              </c:numCache>
            </c:numRef>
          </c:val>
          <c:smooth val="0"/>
          <c:extLst>
            <c:ext xmlns:c16="http://schemas.microsoft.com/office/drawing/2014/chart" uri="{C3380CC4-5D6E-409C-BE32-E72D297353CC}">
              <c16:uniqueId val="{00000002-62D3-4946-85BD-FA0BEE4310EB}"/>
            </c:ext>
          </c:extLst>
        </c:ser>
        <c:ser>
          <c:idx val="3"/>
          <c:order val="3"/>
          <c:tx>
            <c:strRef>
              <c:f>Uträkningar!$B$17</c:f>
              <c:strCache>
                <c:ptCount val="1"/>
                <c:pt idx="0">
                  <c:v>SE</c:v>
                </c:pt>
              </c:strCache>
            </c:strRef>
          </c:tx>
          <c:spPr>
            <a:ln w="28575" cap="rnd">
              <a:solidFill>
                <a:srgbClr val="FFFF00"/>
              </a:solidFill>
              <a:round/>
            </a:ln>
            <a:effectLst/>
          </c:spPr>
          <c:marker>
            <c:symbol val="none"/>
          </c:marker>
          <c:cat>
            <c:numRef>
              <c:f>Uträkningar!$C$13:$Z$13</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Uträkningar!$C$17:$Z$17</c:f>
              <c:numCache>
                <c:formatCode>General</c:formatCode>
                <c:ptCount val="24"/>
                <c:pt idx="0">
                  <c:v>0</c:v>
                </c:pt>
                <c:pt idx="1">
                  <c:v>-3.1041244933544581E-2</c:v>
                </c:pt>
                <c:pt idx="2">
                  <c:v>-6.3643150447428104E-2</c:v>
                </c:pt>
                <c:pt idx="3">
                  <c:v>-9.6204453380610483E-2</c:v>
                </c:pt>
                <c:pt idx="4">
                  <c:v>-0.13127823671273878</c:v>
                </c:pt>
                <c:pt idx="5">
                  <c:v>-0.1666737301008594</c:v>
                </c:pt>
                <c:pt idx="6">
                  <c:v>-0.21106129123814493</c:v>
                </c:pt>
                <c:pt idx="7">
                  <c:v>-0.17584066742166463</c:v>
                </c:pt>
                <c:pt idx="8">
                  <c:v>-0.13938292440664041</c:v>
                </c:pt>
                <c:pt idx="9">
                  <c:v>-7.2061879686604921E-2</c:v>
                </c:pt>
                <c:pt idx="10">
                  <c:v>-0.17248622925007712</c:v>
                </c:pt>
                <c:pt idx="11">
                  <c:v>-0.12113712278122596</c:v>
                </c:pt>
                <c:pt idx="12">
                  <c:v>4.1476153887566878E-3</c:v>
                </c:pt>
                <c:pt idx="13">
                  <c:v>4.6734791434367429E-2</c:v>
                </c:pt>
                <c:pt idx="14">
                  <c:v>2.8908909756888299E-2</c:v>
                </c:pt>
                <c:pt idx="15">
                  <c:v>-5.244063593943462E-2</c:v>
                </c:pt>
                <c:pt idx="16">
                  <c:v>-6.3815080361128054E-2</c:v>
                </c:pt>
                <c:pt idx="17">
                  <c:v>-7.3245565372622889E-2</c:v>
                </c:pt>
                <c:pt idx="18">
                  <c:v>-0.11657390586903678</c:v>
                </c:pt>
                <c:pt idx="19">
                  <c:v>-0.11491196186474593</c:v>
                </c:pt>
                <c:pt idx="20">
                  <c:v>-4.5862320579312062E-2</c:v>
                </c:pt>
                <c:pt idx="21">
                  <c:v>-0.11655258140667887</c:v>
                </c:pt>
                <c:pt idx="22">
                  <c:v>-0.19541071889888928</c:v>
                </c:pt>
                <c:pt idx="23">
                  <c:v>-0.17813992259279149</c:v>
                </c:pt>
              </c:numCache>
            </c:numRef>
          </c:val>
          <c:smooth val="0"/>
          <c:extLst>
            <c:ext xmlns:c16="http://schemas.microsoft.com/office/drawing/2014/chart" uri="{C3380CC4-5D6E-409C-BE32-E72D297353CC}">
              <c16:uniqueId val="{00000003-62D3-4946-85BD-FA0BEE4310EB}"/>
            </c:ext>
          </c:extLst>
        </c:ser>
        <c:ser>
          <c:idx val="0"/>
          <c:order val="4"/>
          <c:tx>
            <c:strRef>
              <c:f>Uträkningar!$B$14</c:f>
              <c:strCache>
                <c:ptCount val="1"/>
                <c:pt idx="0">
                  <c:v>EA</c:v>
                </c:pt>
              </c:strCache>
            </c:strRef>
          </c:tx>
          <c:spPr>
            <a:ln w="28575" cap="rnd">
              <a:solidFill>
                <a:srgbClr val="00B050"/>
              </a:solidFill>
              <a:round/>
            </a:ln>
            <a:effectLst/>
          </c:spPr>
          <c:marker>
            <c:symbol val="none"/>
          </c:marker>
          <c:cat>
            <c:numRef>
              <c:f>Uträkningar!$C$13:$Z$13</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Uträkningar!$C$14:$Z$14</c:f>
              <c:numCache>
                <c:formatCode>General</c:formatCode>
                <c:ptCount val="24"/>
                <c:pt idx="0">
                  <c:v>0</c:v>
                </c:pt>
                <c:pt idx="1">
                  <c:v>6.1326771941238086E-3</c:v>
                </c:pt>
                <c:pt idx="2">
                  <c:v>1.9017890478883109E-2</c:v>
                </c:pt>
                <c:pt idx="3">
                  <c:v>2.165114921622013E-2</c:v>
                </c:pt>
                <c:pt idx="4">
                  <c:v>6.1952750032210494E-3</c:v>
                </c:pt>
                <c:pt idx="5">
                  <c:v>-2.9752070685429045E-3</c:v>
                </c:pt>
                <c:pt idx="6">
                  <c:v>-2.6745136952214185E-2</c:v>
                </c:pt>
                <c:pt idx="7">
                  <c:v>-2.9952535070036486E-2</c:v>
                </c:pt>
                <c:pt idx="8">
                  <c:v>2.712174567130048E-2</c:v>
                </c:pt>
                <c:pt idx="9">
                  <c:v>0.13092199284278197</c:v>
                </c:pt>
                <c:pt idx="10">
                  <c:v>4.5545184064622227E-2</c:v>
                </c:pt>
                <c:pt idx="11">
                  <c:v>2.9122195418822609E-2</c:v>
                </c:pt>
                <c:pt idx="12">
                  <c:v>6.2610376733255119E-2</c:v>
                </c:pt>
                <c:pt idx="13">
                  <c:v>8.066832296638099E-2</c:v>
                </c:pt>
                <c:pt idx="14">
                  <c:v>6.7312564335806069E-2</c:v>
                </c:pt>
                <c:pt idx="15">
                  <c:v>4.8549693084921068E-2</c:v>
                </c:pt>
                <c:pt idx="16">
                  <c:v>4.6226997715275595E-2</c:v>
                </c:pt>
                <c:pt idx="17">
                  <c:v>3.6416381261647514E-2</c:v>
                </c:pt>
                <c:pt idx="18">
                  <c:v>5.0587615110486192E-2</c:v>
                </c:pt>
                <c:pt idx="19">
                  <c:v>7.1650795992908342E-2</c:v>
                </c:pt>
                <c:pt idx="20">
                  <c:v>8.8865959746397466E-2</c:v>
                </c:pt>
                <c:pt idx="21">
                  <c:v>3.2552416249913251E-2</c:v>
                </c:pt>
                <c:pt idx="22">
                  <c:v>5.2621392454974783E-2</c:v>
                </c:pt>
                <c:pt idx="23">
                  <c:v>0.13260587444882485</c:v>
                </c:pt>
              </c:numCache>
            </c:numRef>
          </c:val>
          <c:smooth val="0"/>
          <c:extLst>
            <c:ext xmlns:c16="http://schemas.microsoft.com/office/drawing/2014/chart" uri="{C3380CC4-5D6E-409C-BE32-E72D297353CC}">
              <c16:uniqueId val="{00000004-62D3-4946-85BD-FA0BEE4310EB}"/>
            </c:ext>
          </c:extLst>
        </c:ser>
        <c:dLbls>
          <c:showLegendKey val="0"/>
          <c:showVal val="0"/>
          <c:showCatName val="0"/>
          <c:showSerName val="0"/>
          <c:showPercent val="0"/>
          <c:showBubbleSize val="0"/>
        </c:dLbls>
        <c:smooth val="0"/>
        <c:axId val="1562613776"/>
        <c:axId val="1562604176"/>
      </c:lineChart>
      <c:catAx>
        <c:axId val="156261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562604176"/>
        <c:crosses val="autoZero"/>
        <c:auto val="1"/>
        <c:lblAlgn val="ctr"/>
        <c:lblOffset val="100"/>
        <c:noMultiLvlLbl val="0"/>
      </c:catAx>
      <c:valAx>
        <c:axId val="1562604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562613776"/>
        <c:crosses val="autoZero"/>
        <c:crossBetween val="between"/>
      </c:valAx>
      <c:spPr>
        <a:noFill/>
        <a:ln>
          <a:noFill/>
        </a:ln>
        <a:effectLst/>
      </c:spPr>
    </c:plotArea>
    <c:legend>
      <c:legendPos val="b"/>
      <c:layout>
        <c:manualLayout>
          <c:xMode val="edge"/>
          <c:yMode val="edge"/>
          <c:x val="0.23226093613298338"/>
          <c:y val="0.89409667541557303"/>
          <c:w val="0.557700349956255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Uträkningar!$B$51</c:f>
              <c:strCache>
                <c:ptCount val="1"/>
                <c:pt idx="0">
                  <c:v>DK</c:v>
                </c:pt>
              </c:strCache>
            </c:strRef>
          </c:tx>
          <c:spPr>
            <a:ln w="28575" cap="rnd">
              <a:solidFill>
                <a:srgbClr val="FF0000"/>
              </a:solidFill>
              <a:round/>
            </a:ln>
            <a:effectLst/>
          </c:spPr>
          <c:marker>
            <c:symbol val="none"/>
          </c:marker>
          <c:cat>
            <c:numRef>
              <c:f>Uträkningar!$C$49:$Z$49</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Uträkningar!$C$51:$Z$51</c:f>
              <c:numCache>
                <c:formatCode>General</c:formatCode>
                <c:ptCount val="24"/>
                <c:pt idx="0">
                  <c:v>0</c:v>
                </c:pt>
                <c:pt idx="1">
                  <c:v>3.5526497410772143E-2</c:v>
                </c:pt>
                <c:pt idx="2">
                  <c:v>7.4307096716956955E-2</c:v>
                </c:pt>
                <c:pt idx="3">
                  <c:v>9.9652975171247493E-2</c:v>
                </c:pt>
                <c:pt idx="4">
                  <c:v>7.6321792123276236E-2</c:v>
                </c:pt>
                <c:pt idx="5">
                  <c:v>0.12006559089195497</c:v>
                </c:pt>
                <c:pt idx="6">
                  <c:v>9.7302386418985518E-2</c:v>
                </c:pt>
                <c:pt idx="7">
                  <c:v>0.15382256528823529</c:v>
                </c:pt>
                <c:pt idx="8">
                  <c:v>0.17896000421534372</c:v>
                </c:pt>
                <c:pt idx="9">
                  <c:v>0.20501470150401352</c:v>
                </c:pt>
                <c:pt idx="10">
                  <c:v>0.14236040378674689</c:v>
                </c:pt>
                <c:pt idx="11">
                  <c:v>0.10625041104873456</c:v>
                </c:pt>
                <c:pt idx="12">
                  <c:v>8.3538626859234091E-2</c:v>
                </c:pt>
                <c:pt idx="13">
                  <c:v>2.4670650238679218E-2</c:v>
                </c:pt>
                <c:pt idx="14">
                  <c:v>3.592734809599276E-2</c:v>
                </c:pt>
                <c:pt idx="15">
                  <c:v>6.5760452039694398E-2</c:v>
                </c:pt>
                <c:pt idx="16">
                  <c:v>6.0789106596391834E-2</c:v>
                </c:pt>
                <c:pt idx="17">
                  <c:v>7.221619768665896E-3</c:v>
                </c:pt>
                <c:pt idx="18">
                  <c:v>7.8557459876316279E-4</c:v>
                </c:pt>
                <c:pt idx="19">
                  <c:v>-3.8460640769340255E-2</c:v>
                </c:pt>
                <c:pt idx="20">
                  <c:v>4.394450821923155E-2</c:v>
                </c:pt>
                <c:pt idx="21">
                  <c:v>-4.4517048158913025E-2</c:v>
                </c:pt>
                <c:pt idx="22">
                  <c:v>-5.7533546636929361E-2</c:v>
                </c:pt>
                <c:pt idx="23">
                  <c:v>-0.10589323497894161</c:v>
                </c:pt>
              </c:numCache>
            </c:numRef>
          </c:val>
          <c:smooth val="0"/>
          <c:extLst>
            <c:ext xmlns:c16="http://schemas.microsoft.com/office/drawing/2014/chart" uri="{C3380CC4-5D6E-409C-BE32-E72D297353CC}">
              <c16:uniqueId val="{00000000-A82D-4780-B553-471FADC398A8}"/>
            </c:ext>
          </c:extLst>
        </c:ser>
        <c:ser>
          <c:idx val="4"/>
          <c:order val="1"/>
          <c:tx>
            <c:strRef>
              <c:f>Uträkningar!$B$52</c:f>
              <c:strCache>
                <c:ptCount val="1"/>
                <c:pt idx="0">
                  <c:v>FI</c:v>
                </c:pt>
              </c:strCache>
            </c:strRef>
          </c:tx>
          <c:spPr>
            <a:ln w="28575" cap="rnd">
              <a:solidFill>
                <a:srgbClr val="00B0F0"/>
              </a:solidFill>
              <a:round/>
            </a:ln>
            <a:effectLst/>
          </c:spPr>
          <c:marker>
            <c:symbol val="none"/>
          </c:marker>
          <c:cat>
            <c:numRef>
              <c:f>Uträkningar!$C$49:$Z$49</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Uträkningar!$C$52:$Z$52</c:f>
              <c:numCache>
                <c:formatCode>General</c:formatCode>
                <c:ptCount val="24"/>
                <c:pt idx="0">
                  <c:v>0</c:v>
                </c:pt>
                <c:pt idx="1">
                  <c:v>3.4770905224264523E-3</c:v>
                </c:pt>
                <c:pt idx="2">
                  <c:v>-3.405240503078532E-2</c:v>
                </c:pt>
                <c:pt idx="3">
                  <c:v>-8.8371099141111242E-2</c:v>
                </c:pt>
                <c:pt idx="4">
                  <c:v>-0.11842993125270371</c:v>
                </c:pt>
                <c:pt idx="5">
                  <c:v>-0.12168741362954272</c:v>
                </c:pt>
                <c:pt idx="6">
                  <c:v>-0.17628121719046741</c:v>
                </c:pt>
                <c:pt idx="7">
                  <c:v>-0.2259699116815678</c:v>
                </c:pt>
                <c:pt idx="8">
                  <c:v>-0.18320912748121876</c:v>
                </c:pt>
                <c:pt idx="9">
                  <c:v>-3.8182480416049927E-3</c:v>
                </c:pt>
                <c:pt idx="10">
                  <c:v>-0.10890342622363329</c:v>
                </c:pt>
                <c:pt idx="11">
                  <c:v>-6.7999644801162273E-2</c:v>
                </c:pt>
                <c:pt idx="12">
                  <c:v>7.4795583186101494E-2</c:v>
                </c:pt>
                <c:pt idx="13">
                  <c:v>2.7454071667058762E-2</c:v>
                </c:pt>
                <c:pt idx="14">
                  <c:v>1.7205380750296716E-2</c:v>
                </c:pt>
                <c:pt idx="15">
                  <c:v>2.4159504717628677E-2</c:v>
                </c:pt>
                <c:pt idx="16">
                  <c:v>-1.8967227003528361E-2</c:v>
                </c:pt>
                <c:pt idx="17">
                  <c:v>-0.10202749553275588</c:v>
                </c:pt>
                <c:pt idx="18">
                  <c:v>-3.1628084426091822E-2</c:v>
                </c:pt>
                <c:pt idx="19">
                  <c:v>-4.854022870064912E-2</c:v>
                </c:pt>
                <c:pt idx="20">
                  <c:v>-4.697136494519602E-2</c:v>
                </c:pt>
                <c:pt idx="21">
                  <c:v>1.972970763824318E-2</c:v>
                </c:pt>
                <c:pt idx="22">
                  <c:v>9.0873782179832469E-2</c:v>
                </c:pt>
                <c:pt idx="23">
                  <c:v>0.13730067244430944</c:v>
                </c:pt>
              </c:numCache>
            </c:numRef>
          </c:val>
          <c:smooth val="0"/>
          <c:extLst>
            <c:ext xmlns:c16="http://schemas.microsoft.com/office/drawing/2014/chart" uri="{C3380CC4-5D6E-409C-BE32-E72D297353CC}">
              <c16:uniqueId val="{00000001-A82D-4780-B553-471FADC398A8}"/>
            </c:ext>
          </c:extLst>
        </c:ser>
        <c:ser>
          <c:idx val="0"/>
          <c:order val="2"/>
          <c:tx>
            <c:strRef>
              <c:f>Uträkningar!$B$54</c:f>
              <c:strCache>
                <c:ptCount val="1"/>
                <c:pt idx="0">
                  <c:v>NO</c:v>
                </c:pt>
              </c:strCache>
            </c:strRef>
          </c:tx>
          <c:spPr>
            <a:ln w="28575" cap="rnd">
              <a:solidFill>
                <a:srgbClr val="0070C0"/>
              </a:solidFill>
              <a:round/>
            </a:ln>
            <a:effectLst/>
          </c:spPr>
          <c:marker>
            <c:symbol val="none"/>
          </c:marker>
          <c:cat>
            <c:numRef>
              <c:f>Uträkningar!$C$49:$Z$49</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Uträkningar!$C$54:$Z$54</c:f>
              <c:numCache>
                <c:formatCode>General</c:formatCode>
                <c:ptCount val="24"/>
                <c:pt idx="0">
                  <c:v>0</c:v>
                </c:pt>
                <c:pt idx="1">
                  <c:v>4.6628895783313216E-2</c:v>
                </c:pt>
                <c:pt idx="2">
                  <c:v>0.22345000426580058</c:v>
                </c:pt>
                <c:pt idx="3">
                  <c:v>5.1067823718901638E-2</c:v>
                </c:pt>
                <c:pt idx="4">
                  <c:v>-5.1531777732479453E-2</c:v>
                </c:pt>
                <c:pt idx="5">
                  <c:v>6.4717027593456419E-2</c:v>
                </c:pt>
                <c:pt idx="6">
                  <c:v>0.15383613739353311</c:v>
                </c:pt>
                <c:pt idx="7">
                  <c:v>0.19166960858978677</c:v>
                </c:pt>
                <c:pt idx="8">
                  <c:v>0.17593649118835469</c:v>
                </c:pt>
                <c:pt idx="9">
                  <c:v>9.0334124661476403E-2</c:v>
                </c:pt>
                <c:pt idx="10">
                  <c:v>0.22872854672049941</c:v>
                </c:pt>
                <c:pt idx="11">
                  <c:v>0.30901234118170068</c:v>
                </c:pt>
                <c:pt idx="12">
                  <c:v>0.43263179352982595</c:v>
                </c:pt>
                <c:pt idx="13">
                  <c:v>0.36601134957796488</c:v>
                </c:pt>
                <c:pt idx="14">
                  <c:v>0.23743152337456758</c:v>
                </c:pt>
                <c:pt idx="15">
                  <c:v>0.13624065097673482</c:v>
                </c:pt>
                <c:pt idx="16">
                  <c:v>7.7101641288946643E-2</c:v>
                </c:pt>
                <c:pt idx="17">
                  <c:v>6.346604231310421E-2</c:v>
                </c:pt>
                <c:pt idx="18">
                  <c:v>2.4128038698092904E-2</c:v>
                </c:pt>
                <c:pt idx="19">
                  <c:v>1.2740994386868175E-2</c:v>
                </c:pt>
                <c:pt idx="20">
                  <c:v>-0.12207364105852517</c:v>
                </c:pt>
                <c:pt idx="21">
                  <c:v>-2.7535448680060439E-2</c:v>
                </c:pt>
                <c:pt idx="22">
                  <c:v>5.6611199219284675E-2</c:v>
                </c:pt>
                <c:pt idx="23">
                  <c:v>-0.11520327762131308</c:v>
                </c:pt>
              </c:numCache>
            </c:numRef>
          </c:val>
          <c:smooth val="0"/>
          <c:extLst>
            <c:ext xmlns:c16="http://schemas.microsoft.com/office/drawing/2014/chart" uri="{C3380CC4-5D6E-409C-BE32-E72D297353CC}">
              <c16:uniqueId val="{00000002-A82D-4780-B553-471FADC398A8}"/>
            </c:ext>
          </c:extLst>
        </c:ser>
        <c:ser>
          <c:idx val="3"/>
          <c:order val="3"/>
          <c:tx>
            <c:strRef>
              <c:f>Uträkningar!$B$53</c:f>
              <c:strCache>
                <c:ptCount val="1"/>
                <c:pt idx="0">
                  <c:v>SE</c:v>
                </c:pt>
              </c:strCache>
            </c:strRef>
          </c:tx>
          <c:spPr>
            <a:ln w="28575" cap="rnd">
              <a:solidFill>
                <a:srgbClr val="FFFF00"/>
              </a:solidFill>
              <a:round/>
            </a:ln>
            <a:effectLst/>
          </c:spPr>
          <c:marker>
            <c:symbol val="none"/>
          </c:marker>
          <c:cat>
            <c:numRef>
              <c:f>Uträkningar!$C$49:$Z$49</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Uträkningar!$C$53:$Z$53</c:f>
              <c:numCache>
                <c:formatCode>General</c:formatCode>
                <c:ptCount val="24"/>
                <c:pt idx="0">
                  <c:v>0</c:v>
                </c:pt>
                <c:pt idx="1">
                  <c:v>-0.12261776323912767</c:v>
                </c:pt>
                <c:pt idx="2">
                  <c:v>-0.14501117662801358</c:v>
                </c:pt>
                <c:pt idx="3">
                  <c:v>-0.17353644514115096</c:v>
                </c:pt>
                <c:pt idx="4">
                  <c:v>-0.20862118827819484</c:v>
                </c:pt>
                <c:pt idx="5">
                  <c:v>-0.2611740851362882</c:v>
                </c:pt>
                <c:pt idx="6">
                  <c:v>-0.30256217270855318</c:v>
                </c:pt>
                <c:pt idx="7">
                  <c:v>-0.26687679706658196</c:v>
                </c:pt>
                <c:pt idx="8">
                  <c:v>-0.26912987143129158</c:v>
                </c:pt>
                <c:pt idx="9">
                  <c:v>-0.30111791351476996</c:v>
                </c:pt>
                <c:pt idx="10">
                  <c:v>-0.29409842315315898</c:v>
                </c:pt>
                <c:pt idx="11">
                  <c:v>-0.18806910893880849</c:v>
                </c:pt>
                <c:pt idx="12">
                  <c:v>-2.6048330997629807E-2</c:v>
                </c:pt>
                <c:pt idx="13">
                  <c:v>2.260030775159232E-2</c:v>
                </c:pt>
                <c:pt idx="14">
                  <c:v>-4.5602422382481078E-2</c:v>
                </c:pt>
                <c:pt idx="15">
                  <c:v>-0.15459300811446597</c:v>
                </c:pt>
                <c:pt idx="16">
                  <c:v>-0.17822959189766155</c:v>
                </c:pt>
                <c:pt idx="17">
                  <c:v>-0.20506001338049451</c:v>
                </c:pt>
                <c:pt idx="18">
                  <c:v>-0.31106280724363494</c:v>
                </c:pt>
                <c:pt idx="19">
                  <c:v>-0.34113889939907538</c:v>
                </c:pt>
                <c:pt idx="20">
                  <c:v>-0.26219067725061662</c:v>
                </c:pt>
                <c:pt idx="21">
                  <c:v>-0.3000831672097744</c:v>
                </c:pt>
                <c:pt idx="22">
                  <c:v>-0.42545504856205951</c:v>
                </c:pt>
                <c:pt idx="23">
                  <c:v>-0.48504354577209496</c:v>
                </c:pt>
              </c:numCache>
            </c:numRef>
          </c:val>
          <c:smooth val="0"/>
          <c:extLst>
            <c:ext xmlns:c16="http://schemas.microsoft.com/office/drawing/2014/chart" uri="{C3380CC4-5D6E-409C-BE32-E72D297353CC}">
              <c16:uniqueId val="{00000003-A82D-4780-B553-471FADC398A8}"/>
            </c:ext>
          </c:extLst>
        </c:ser>
        <c:ser>
          <c:idx val="1"/>
          <c:order val="4"/>
          <c:tx>
            <c:strRef>
              <c:f>Uträkningar!$B$50</c:f>
              <c:strCache>
                <c:ptCount val="1"/>
                <c:pt idx="0">
                  <c:v>EA</c:v>
                </c:pt>
              </c:strCache>
            </c:strRef>
          </c:tx>
          <c:spPr>
            <a:ln w="28575" cap="rnd">
              <a:solidFill>
                <a:srgbClr val="00B050"/>
              </a:solidFill>
              <a:round/>
            </a:ln>
            <a:effectLst/>
          </c:spPr>
          <c:marker>
            <c:symbol val="none"/>
          </c:marker>
          <c:cat>
            <c:numRef>
              <c:f>Uträkningar!$C$49:$Z$49</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Uträkningar!$C$50:$Z$50</c:f>
              <c:numCache>
                <c:formatCode>General</c:formatCode>
                <c:ptCount val="24"/>
                <c:pt idx="0">
                  <c:v>0</c:v>
                </c:pt>
                <c:pt idx="1">
                  <c:v>6.1326771941238086E-3</c:v>
                </c:pt>
                <c:pt idx="2">
                  <c:v>1.9017890478883109E-2</c:v>
                </c:pt>
                <c:pt idx="3">
                  <c:v>2.165114921622013E-2</c:v>
                </c:pt>
                <c:pt idx="4">
                  <c:v>6.1952750032210494E-3</c:v>
                </c:pt>
                <c:pt idx="5">
                  <c:v>-2.9752070685429045E-3</c:v>
                </c:pt>
                <c:pt idx="6">
                  <c:v>-2.6745136952214185E-2</c:v>
                </c:pt>
                <c:pt idx="7">
                  <c:v>-2.9952535070036486E-2</c:v>
                </c:pt>
                <c:pt idx="8">
                  <c:v>2.712174567130048E-2</c:v>
                </c:pt>
                <c:pt idx="9">
                  <c:v>0.13092199284278197</c:v>
                </c:pt>
                <c:pt idx="10">
                  <c:v>4.5545184064622227E-2</c:v>
                </c:pt>
                <c:pt idx="11">
                  <c:v>2.9122195418822609E-2</c:v>
                </c:pt>
                <c:pt idx="12">
                  <c:v>6.2610376733255119E-2</c:v>
                </c:pt>
                <c:pt idx="13">
                  <c:v>8.066832296638099E-2</c:v>
                </c:pt>
                <c:pt idx="14">
                  <c:v>6.7312564335806069E-2</c:v>
                </c:pt>
                <c:pt idx="15">
                  <c:v>4.8549693084921068E-2</c:v>
                </c:pt>
                <c:pt idx="16">
                  <c:v>4.6226997715275595E-2</c:v>
                </c:pt>
                <c:pt idx="17">
                  <c:v>3.6416381261647514E-2</c:v>
                </c:pt>
                <c:pt idx="18">
                  <c:v>5.0587615110486192E-2</c:v>
                </c:pt>
                <c:pt idx="19">
                  <c:v>7.1650795992908342E-2</c:v>
                </c:pt>
                <c:pt idx="20">
                  <c:v>8.8865959746397466E-2</c:v>
                </c:pt>
                <c:pt idx="21">
                  <c:v>3.2552416249913251E-2</c:v>
                </c:pt>
                <c:pt idx="22">
                  <c:v>5.2621392454974783E-2</c:v>
                </c:pt>
                <c:pt idx="23">
                  <c:v>0.13260587444882485</c:v>
                </c:pt>
              </c:numCache>
            </c:numRef>
          </c:val>
          <c:smooth val="0"/>
          <c:extLst>
            <c:ext xmlns:c16="http://schemas.microsoft.com/office/drawing/2014/chart" uri="{C3380CC4-5D6E-409C-BE32-E72D297353CC}">
              <c16:uniqueId val="{00000004-A82D-4780-B553-471FADC398A8}"/>
            </c:ext>
          </c:extLst>
        </c:ser>
        <c:dLbls>
          <c:showLegendKey val="0"/>
          <c:showVal val="0"/>
          <c:showCatName val="0"/>
          <c:showSerName val="0"/>
          <c:showPercent val="0"/>
          <c:showBubbleSize val="0"/>
        </c:dLbls>
        <c:smooth val="0"/>
        <c:axId val="1562639696"/>
        <c:axId val="1562641136"/>
      </c:lineChart>
      <c:catAx>
        <c:axId val="156263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562641136"/>
        <c:crosses val="autoZero"/>
        <c:auto val="1"/>
        <c:lblAlgn val="ctr"/>
        <c:lblOffset val="100"/>
        <c:noMultiLvlLbl val="0"/>
      </c:catAx>
      <c:valAx>
        <c:axId val="1562641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562639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BAC4E-6A74-4169-A8DD-05BB9E65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13064</Words>
  <Characters>74992</Characters>
  <Application>Microsoft Office Word</Application>
  <DocSecurity>0</DocSecurity>
  <Lines>1190</Lines>
  <Paragraphs>236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Calmfors</dc:creator>
  <cp:keywords/>
  <dc:description/>
  <cp:lastModifiedBy>Lars Calmfors</cp:lastModifiedBy>
  <cp:revision>9</cp:revision>
  <cp:lastPrinted>2024-07-17T15:51:00Z</cp:lastPrinted>
  <dcterms:created xsi:type="dcterms:W3CDTF">2024-10-25T08:33:00Z</dcterms:created>
  <dcterms:modified xsi:type="dcterms:W3CDTF">2024-10-25T08:41:00Z</dcterms:modified>
</cp:coreProperties>
</file>